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5D624">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ascii="Arial" w:hAnsi="Arial" w:eastAsia="等线" w:cs="Arial"/>
          <w:b/>
          <w:sz w:val="52"/>
        </w:rPr>
      </w:pPr>
      <w:r>
        <w:rPr>
          <w:rFonts w:ascii="Arial" w:hAnsi="Arial" w:eastAsia="等线" w:cs="Arial"/>
          <w:b/>
          <w:sz w:val="52"/>
        </w:rPr>
        <w:t>首都医科大学附属北京地坛医院</w:t>
      </w:r>
    </w:p>
    <w:p w14:paraId="332F6CB0">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pPr>
      <w:r>
        <w:rPr>
          <w:rFonts w:ascii="Arial" w:hAnsi="Arial" w:eastAsia="等线" w:cs="Arial"/>
          <w:b/>
          <w:sz w:val="52"/>
        </w:rPr>
        <w:t>肿瘤介入科招生简章</w:t>
      </w:r>
    </w:p>
    <w:p w14:paraId="206AD4EA">
      <w:pPr>
        <w:spacing w:before="120" w:after="120" w:line="288" w:lineRule="auto"/>
        <w:ind w:left="0" w:firstLine="440" w:firstLineChars="200"/>
        <w:jc w:val="left"/>
      </w:pPr>
      <w:r>
        <w:rPr>
          <w:rFonts w:ascii="Arial" w:hAnsi="Arial" w:eastAsia="等线" w:cs="Arial"/>
          <w:sz w:val="22"/>
        </w:rPr>
        <w:t>为进一步推广肿瘤微创介入诊疗先进技术，培养高素质、专业化的介入医学临床人才，推动国内肿瘤介入诊疗技术规范化、同质化发展，首都医科大学附属北京地坛医院肿瘤介入科现面向全国各级医院招收 2026 年度进修医师。科室依托医院深厚的肝病与肿瘤诊疗底蕴，深耕微创介入领域多年，技术实力雄厚、教学体系完善、科研平台优质，可为进修医师提供系统化、全方位的临床技能提升与科研思维培养平台，现将进修招生相关事宜公告如下。</w:t>
      </w:r>
    </w:p>
    <w:p w14:paraId="25F3738C">
      <w:pPr>
        <w:spacing w:before="320" w:after="120" w:line="288" w:lineRule="auto"/>
        <w:ind w:left="0"/>
        <w:jc w:val="left"/>
        <w:outlineLvl w:val="1"/>
      </w:pPr>
      <w:bookmarkStart w:id="0" w:name="heading_0"/>
      <w:r>
        <w:rPr>
          <w:rFonts w:ascii="Arial" w:hAnsi="Arial" w:eastAsia="等线" w:cs="Arial"/>
          <w:b/>
          <w:sz w:val="32"/>
        </w:rPr>
        <w:t>一、科室概况</w:t>
      </w:r>
      <w:bookmarkEnd w:id="0"/>
    </w:p>
    <w:p w14:paraId="46FFC135">
      <w:pPr>
        <w:spacing w:before="120" w:after="120" w:line="288" w:lineRule="auto"/>
        <w:ind w:left="0" w:firstLine="440" w:firstLineChars="200"/>
        <w:jc w:val="left"/>
      </w:pPr>
      <w:r>
        <w:rPr>
          <w:rFonts w:ascii="Arial" w:hAnsi="Arial" w:eastAsia="等线" w:cs="Arial"/>
          <w:sz w:val="22"/>
        </w:rPr>
        <w:t>北京地坛医院肿瘤介入科成立于 2011 年，是国内较早开展肿瘤微创介入诊疗的特色专科，同时为</w:t>
      </w:r>
      <w:r>
        <w:rPr>
          <w:rFonts w:ascii="Arial" w:hAnsi="Arial" w:eastAsia="等线" w:cs="Arial"/>
          <w:b/>
          <w:sz w:val="22"/>
        </w:rPr>
        <w:t>国家消融培训基地</w:t>
      </w:r>
      <w:r>
        <w:rPr>
          <w:rFonts w:ascii="Arial" w:hAnsi="Arial" w:eastAsia="等线" w:cs="Arial"/>
          <w:sz w:val="22"/>
        </w:rPr>
        <w:t>，在国内肿瘤介入领域具备较高影响力与权威性。科室以肝胆系统肿瘤微创诊疗为核心特色，兼顾多系统良恶性肿瘤及血管疾病介入治疗，形成了 “微创精准、个体化综合诊疗” 的学科优势。</w:t>
      </w:r>
    </w:p>
    <w:p w14:paraId="7AB48545">
      <w:pPr>
        <w:spacing w:before="120" w:after="120" w:line="288" w:lineRule="auto"/>
        <w:ind w:left="0" w:firstLine="440" w:firstLineChars="200"/>
        <w:jc w:val="left"/>
      </w:pPr>
      <w:r>
        <w:rPr>
          <w:rFonts w:ascii="Arial" w:hAnsi="Arial" w:eastAsia="等线" w:cs="Arial"/>
          <w:sz w:val="22"/>
        </w:rPr>
        <w:t>科室医疗团队结构合理、技术精湛，现有专职临床医生、介入专科护士组成的专业医护团队，团队骨干深耕介入医学多年，临床经验丰富、科研能力突出。科室年完成各类肿瘤介入手术</w:t>
      </w:r>
      <w:r>
        <w:rPr>
          <w:rFonts w:ascii="Arial" w:hAnsi="Arial" w:eastAsia="等线" w:cs="Arial"/>
          <w:b/>
          <w:sz w:val="22"/>
        </w:rPr>
        <w:t>5000 余台次</w:t>
      </w:r>
      <w:r>
        <w:rPr>
          <w:rFonts w:ascii="Arial" w:hAnsi="Arial" w:eastAsia="等线" w:cs="Arial"/>
          <w:sz w:val="22"/>
        </w:rPr>
        <w:t xml:space="preserve">，年均开展肝癌专项会诊 </w:t>
      </w:r>
      <w:r>
        <w:rPr>
          <w:rFonts w:hint="eastAsia" w:ascii="Arial" w:hAnsi="Arial" w:eastAsia="等线" w:cs="Arial"/>
          <w:sz w:val="22"/>
          <w:lang w:val="en-US" w:eastAsia="zh-CN"/>
        </w:rPr>
        <w:t>8000</w:t>
      </w:r>
      <w:r>
        <w:rPr>
          <w:rFonts w:ascii="Arial" w:hAnsi="Arial" w:eastAsia="等线" w:cs="Arial"/>
          <w:sz w:val="22"/>
        </w:rPr>
        <w:t>余次，在肝脏肿瘤微创介入诊疗细分领域稳居北京市及国内领先水平，能够为进修医师提供海量、多样化的临床实操病例资源。</w:t>
      </w:r>
    </w:p>
    <w:p w14:paraId="5099A78B">
      <w:pPr>
        <w:spacing w:before="320" w:after="120" w:line="288" w:lineRule="auto"/>
        <w:ind w:left="0"/>
        <w:jc w:val="left"/>
        <w:outlineLvl w:val="1"/>
      </w:pPr>
      <w:bookmarkStart w:id="1" w:name="heading_1"/>
      <w:r>
        <w:rPr>
          <w:rFonts w:ascii="Arial" w:hAnsi="Arial" w:eastAsia="等线" w:cs="Arial"/>
          <w:b/>
          <w:sz w:val="32"/>
        </w:rPr>
        <w:t>二、核心诊疗特色</w:t>
      </w:r>
      <w:bookmarkEnd w:id="1"/>
    </w:p>
    <w:p w14:paraId="08CB5A91">
      <w:pPr>
        <w:spacing w:before="120" w:after="120" w:line="288" w:lineRule="auto"/>
        <w:ind w:left="0" w:firstLine="440" w:firstLineChars="200"/>
        <w:jc w:val="left"/>
      </w:pPr>
      <w:r>
        <w:rPr>
          <w:rFonts w:ascii="Arial" w:hAnsi="Arial" w:eastAsia="等线" w:cs="Arial"/>
          <w:sz w:val="22"/>
        </w:rPr>
        <w:t>科室聚焦肿瘤微创诊疗前沿，摒弃传统开放手术创伤大、恢复慢的弊端，以</w:t>
      </w:r>
      <w:r>
        <w:rPr>
          <w:rFonts w:ascii="Arial" w:hAnsi="Arial" w:eastAsia="等线" w:cs="Arial"/>
          <w:b/>
          <w:sz w:val="22"/>
        </w:rPr>
        <w:t>精准微创、保肝护脏、全程管理</w:t>
      </w:r>
      <w:r>
        <w:rPr>
          <w:rFonts w:ascii="Arial" w:hAnsi="Arial" w:eastAsia="等线" w:cs="Arial"/>
          <w:sz w:val="22"/>
        </w:rPr>
        <w:t>为核心理念，构建了血管介入、消融治疗、靶向免疫联合治疗一体化的完整诊疗体系，形成多项特色优势技术。</w:t>
      </w:r>
    </w:p>
    <w:p w14:paraId="06DD84ED">
      <w:pPr>
        <w:spacing w:before="120" w:after="120" w:line="288" w:lineRule="auto"/>
        <w:ind w:left="0" w:firstLine="440" w:firstLineChars="200"/>
        <w:jc w:val="left"/>
      </w:pPr>
      <w:r>
        <w:rPr>
          <w:rFonts w:ascii="Arial" w:hAnsi="Arial" w:eastAsia="等线" w:cs="Arial"/>
          <w:sz w:val="22"/>
        </w:rPr>
        <w:t>在肝胆肿瘤诊疗领域，科室技术特色尤为突出。常规开展</w:t>
      </w:r>
      <w:r>
        <w:rPr>
          <w:rFonts w:hint="eastAsia"/>
          <w:sz w:val="22"/>
          <w:szCs w:val="22"/>
        </w:rPr>
        <w:t>经颈静脉肝内门体分流术(TIPS)</w:t>
      </w:r>
      <w:r>
        <w:rPr>
          <w:rFonts w:hint="eastAsia"/>
          <w:sz w:val="22"/>
          <w:szCs w:val="22"/>
          <w:lang w:eastAsia="zh-CN"/>
        </w:rPr>
        <w:t>、</w:t>
      </w:r>
      <w:r>
        <w:rPr>
          <w:rFonts w:ascii="Arial" w:hAnsi="Arial" w:eastAsia="等线" w:cs="Arial"/>
          <w:sz w:val="22"/>
        </w:rPr>
        <w:t>肝癌肝动脉化疗栓塞术（TACE）、肝动脉灌注化疗（HAIC）、载药微球介入治疗等主流血管介入技术。同时，科室擅长高位疑难肝脏肿瘤消融治疗，对临近肝门、胆囊、膈肌、心脏等特殊位置的肝内病灶，可精准开展微波消融治疗，在最大限度杀灭肿瘤的同时，完整保留正常肝组织功能。</w:t>
      </w:r>
    </w:p>
    <w:p w14:paraId="0836D258">
      <w:pPr>
        <w:spacing w:before="120" w:after="120" w:line="288" w:lineRule="auto"/>
        <w:ind w:left="0" w:firstLine="440" w:firstLineChars="200"/>
        <w:jc w:val="left"/>
      </w:pPr>
      <w:r>
        <w:rPr>
          <w:rFonts w:ascii="Arial" w:hAnsi="Arial" w:eastAsia="等线" w:cs="Arial"/>
          <w:sz w:val="22"/>
        </w:rPr>
        <w:t>在多学科联合诊疗方面，科室打破单一治疗局限，构建 “介入微创 + 靶向治疗 + 免疫治疗” 的肿瘤综合诊疗模式，针对肝胆恶性肿瘤开展新辅助治疗、转化治疗与术后巩固治疗，大幅提升中晚期肿瘤患者生存期与生活质量。</w:t>
      </w:r>
    </w:p>
    <w:p w14:paraId="73EB175D">
      <w:pPr>
        <w:spacing w:before="120" w:after="120" w:line="288" w:lineRule="auto"/>
        <w:ind w:firstLine="440" w:firstLineChars="200"/>
        <w:jc w:val="left"/>
      </w:pPr>
      <w:r>
        <w:rPr>
          <w:rFonts w:ascii="Arial" w:hAnsi="Arial" w:eastAsia="等线" w:cs="Arial"/>
          <w:sz w:val="22"/>
        </w:rPr>
        <w:t>同时，科室诊疗范围全面覆盖多系统病变，可规范开甲状腺肿瘤等实体肿瘤的微创消融治疗，梗阻性黄疸 PTCD 减黄、胆道支架成形术，以及子宫肌瘤、子宫腺肌症、下肢静脉血栓等非肿瘤性介入诊疗项目，诊疗技术全面且规范。</w:t>
      </w:r>
    </w:p>
    <w:p w14:paraId="1A9B0362">
      <w:pPr>
        <w:spacing w:before="320" w:after="120" w:line="288" w:lineRule="auto"/>
        <w:ind w:left="0"/>
        <w:jc w:val="left"/>
        <w:outlineLvl w:val="1"/>
      </w:pPr>
      <w:bookmarkStart w:id="2" w:name="heading_2"/>
      <w:r>
        <w:rPr>
          <w:rFonts w:ascii="Arial" w:hAnsi="Arial" w:eastAsia="等线" w:cs="Arial"/>
          <w:b/>
          <w:sz w:val="32"/>
        </w:rPr>
        <w:t>三、主要开展介入手术范围</w:t>
      </w:r>
      <w:bookmarkEnd w:id="2"/>
    </w:p>
    <w:p w14:paraId="60C04668">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科室手术种类齐全、病例资源丰富，兼顾常见病例与疑难复杂病例，进修医师可系统学习各类介入诊疗技术，核心手术项目分为四大类。</w:t>
      </w:r>
    </w:p>
    <w:p w14:paraId="68D8A3F9">
      <w:pPr>
        <w:numPr>
          <w:ilvl w:val="0"/>
          <w:numId w:val="1"/>
        </w:numPr>
        <w:spacing w:before="120" w:after="120" w:line="288" w:lineRule="auto"/>
        <w:ind w:left="0"/>
        <w:jc w:val="left"/>
      </w:pPr>
      <w:r>
        <w:rPr>
          <w:rFonts w:hint="eastAsia" w:ascii="Arial" w:hAnsi="Arial" w:eastAsia="等线" w:cs="Arial"/>
          <w:b/>
          <w:sz w:val="22"/>
        </w:rPr>
        <w:t>经颈静脉肝内门体分流术(TIPS)</w:t>
      </w:r>
      <w:r>
        <w:rPr>
          <w:rFonts w:hint="eastAsia" w:ascii="Arial" w:hAnsi="Arial" w:eastAsia="等线" w:cs="Arial"/>
          <w:b/>
          <w:sz w:val="22"/>
          <w:lang w:eastAsia="zh-CN"/>
        </w:rPr>
        <w:t>：</w:t>
      </w:r>
      <w:r>
        <w:rPr>
          <w:rFonts w:hint="eastAsia" w:ascii="Arial" w:hAnsi="Arial" w:eastAsia="等线" w:cs="Arial"/>
          <w:sz w:val="22"/>
          <w:lang w:eastAsia="zh-CN"/>
        </w:rPr>
        <w:t>食管胃底静脉曲张破裂出血、顽固性腹水、肝性胸水等。</w:t>
      </w:r>
    </w:p>
    <w:p w14:paraId="77CE5D16">
      <w:pPr>
        <w:numPr>
          <w:ilvl w:val="0"/>
          <w:numId w:val="1"/>
        </w:numPr>
        <w:spacing w:before="120" w:after="120" w:line="288" w:lineRule="auto"/>
        <w:ind w:left="0"/>
        <w:jc w:val="left"/>
      </w:pPr>
      <w:r>
        <w:rPr>
          <w:rFonts w:ascii="Arial" w:hAnsi="Arial" w:eastAsia="等线" w:cs="Arial"/>
          <w:b/>
          <w:sz w:val="22"/>
        </w:rPr>
        <w:t>肝脏肿瘤介入治疗</w:t>
      </w:r>
      <w:r>
        <w:rPr>
          <w:rFonts w:ascii="Arial" w:hAnsi="Arial" w:eastAsia="等线" w:cs="Arial"/>
          <w:sz w:val="22"/>
        </w:rPr>
        <w:t>：原发性肝癌、肝转移瘤的 TACE、HAIC、载药微球栓塞治疗；各类肝脏良恶性肿瘤微波消融治疗。</w:t>
      </w:r>
    </w:p>
    <w:p w14:paraId="33CE932B">
      <w:pPr>
        <w:numPr>
          <w:ilvl w:val="0"/>
          <w:numId w:val="1"/>
        </w:numPr>
        <w:spacing w:before="120" w:after="120" w:line="288" w:lineRule="auto"/>
        <w:ind w:left="0"/>
        <w:jc w:val="left"/>
      </w:pPr>
      <w:r>
        <w:rPr>
          <w:rFonts w:ascii="Arial" w:hAnsi="Arial" w:eastAsia="等线" w:cs="Arial"/>
          <w:b/>
          <w:sz w:val="22"/>
        </w:rPr>
        <w:t>胆道及消化系介入治疗</w:t>
      </w:r>
      <w:r>
        <w:rPr>
          <w:rFonts w:ascii="Arial" w:hAnsi="Arial" w:eastAsia="等线" w:cs="Arial"/>
          <w:sz w:val="22"/>
        </w:rPr>
        <w:t>：胆道肿瘤、各类梗阻性黄疸的经皮肝穿刺胆道引流、胆道支架植入成形术；胆管细胞癌微创介入联合靶向免疫综合治疗。</w:t>
      </w:r>
    </w:p>
    <w:p w14:paraId="37C67AE5">
      <w:pPr>
        <w:numPr>
          <w:ilvl w:val="0"/>
          <w:numId w:val="1"/>
        </w:numPr>
        <w:spacing w:before="120" w:after="120" w:line="288" w:lineRule="auto"/>
        <w:ind w:left="0"/>
        <w:jc w:val="left"/>
      </w:pPr>
      <w:r>
        <w:rPr>
          <w:rFonts w:ascii="Arial" w:hAnsi="Arial" w:eastAsia="等线" w:cs="Arial"/>
          <w:b/>
          <w:sz w:val="22"/>
        </w:rPr>
        <w:t>多脏器实体肿瘤介入</w:t>
      </w:r>
      <w:r>
        <w:rPr>
          <w:rFonts w:ascii="Arial" w:hAnsi="Arial" w:eastAsia="等线" w:cs="Arial"/>
          <w:sz w:val="22"/>
        </w:rPr>
        <w:t>：甲状腺等部位良恶性肿瘤的精准消融治疗；实体肿瘤穿刺活检。</w:t>
      </w:r>
    </w:p>
    <w:p w14:paraId="62EC5B8C">
      <w:pPr>
        <w:numPr>
          <w:ilvl w:val="0"/>
          <w:numId w:val="1"/>
        </w:numPr>
        <w:spacing w:before="120" w:after="120" w:line="288" w:lineRule="auto"/>
        <w:ind w:left="0"/>
        <w:jc w:val="left"/>
        <w:rPr>
          <w:rFonts w:ascii="Arial" w:hAnsi="Arial" w:eastAsia="等线" w:cs="Arial"/>
          <w:b/>
          <w:sz w:val="22"/>
        </w:rPr>
      </w:pPr>
      <w:r>
        <w:rPr>
          <w:rFonts w:ascii="Arial" w:hAnsi="Arial" w:eastAsia="等线" w:cs="Arial"/>
          <w:b/>
          <w:sz w:val="22"/>
        </w:rPr>
        <w:t>血管及良性疾病介入</w:t>
      </w:r>
      <w:r>
        <w:rPr>
          <w:rFonts w:ascii="Arial" w:hAnsi="Arial" w:eastAsia="等线" w:cs="Arial"/>
          <w:sz w:val="22"/>
        </w:rPr>
        <w:t>：脾功能亢进的脾动脉栓塞治疗；子宫肌瘤、子宫腺肌症动脉</w:t>
      </w:r>
      <w:r>
        <w:rPr>
          <w:rFonts w:hint="eastAsia" w:ascii="Arial" w:hAnsi="Arial" w:eastAsia="等线" w:cs="Arial"/>
          <w:sz w:val="22"/>
          <w:lang w:eastAsia="zh-CN"/>
        </w:rPr>
        <w:t>、</w:t>
      </w:r>
      <w:r>
        <w:rPr>
          <w:rFonts w:hint="eastAsia" w:ascii="Arial" w:hAnsi="Arial" w:eastAsia="等线" w:cs="Arial"/>
          <w:sz w:val="22"/>
          <w:lang w:val="en-US" w:eastAsia="zh-CN"/>
        </w:rPr>
        <w:t>子宫出血等</w:t>
      </w:r>
      <w:r>
        <w:rPr>
          <w:rFonts w:ascii="Arial" w:hAnsi="Arial" w:eastAsia="等线" w:cs="Arial"/>
          <w:sz w:val="22"/>
        </w:rPr>
        <w:t>栓塞微创治疗。</w:t>
      </w:r>
    </w:p>
    <w:p w14:paraId="2F087034">
      <w:pPr>
        <w:spacing w:before="320" w:after="120" w:line="288" w:lineRule="auto"/>
        <w:ind w:left="0"/>
        <w:jc w:val="left"/>
        <w:outlineLvl w:val="1"/>
      </w:pPr>
      <w:bookmarkStart w:id="3" w:name="heading_3"/>
      <w:r>
        <w:rPr>
          <w:rFonts w:ascii="Arial" w:hAnsi="Arial" w:eastAsia="等线" w:cs="Arial"/>
          <w:b/>
          <w:sz w:val="32"/>
        </w:rPr>
        <w:t>四、科研与教学发展</w:t>
      </w:r>
      <w:bookmarkEnd w:id="3"/>
    </w:p>
    <w:p w14:paraId="76543C1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科室坚持</w:t>
      </w:r>
      <w:r>
        <w:rPr>
          <w:rFonts w:ascii="Arial" w:hAnsi="Arial" w:eastAsia="等线" w:cs="Arial"/>
          <w:b/>
          <w:sz w:val="22"/>
        </w:rPr>
        <w:t>临床与科研协同发展</w:t>
      </w:r>
      <w:r>
        <w:rPr>
          <w:rFonts w:ascii="Arial" w:hAnsi="Arial" w:eastAsia="等线" w:cs="Arial"/>
          <w:sz w:val="22"/>
        </w:rPr>
        <w:t>，以临床难题为科研导向，聚焦肝脏肿瘤介入精准治疗、癌栓综合干预、微创技术优化、肿瘤靶向免疫联合治疗等核心研究方向，科研成果丰硕。近年来，科室持续推进高水平科研攻关，承担国家自然科学青年基金、北京市级重点科研课题等多项科研项目，持续探索复杂肝胆肿瘤介入诊疗新技术、新方案。</w:t>
      </w:r>
    </w:p>
    <w:p w14:paraId="0F983CCC">
      <w:pPr>
        <w:spacing w:before="120" w:after="120" w:line="288" w:lineRule="auto"/>
        <w:ind w:left="0" w:firstLine="440" w:firstLineChars="200"/>
        <w:jc w:val="left"/>
        <w:rPr>
          <w:rFonts w:hint="eastAsia" w:ascii="Arial" w:hAnsi="Arial" w:eastAsia="等线" w:cs="Arial"/>
          <w:sz w:val="22"/>
          <w:lang w:eastAsia="zh-CN"/>
        </w:rPr>
      </w:pPr>
      <w:r>
        <w:rPr>
          <w:rFonts w:hint="eastAsia" w:ascii="Arial" w:hAnsi="Arial" w:eastAsia="等线" w:cs="Arial"/>
          <w:sz w:val="22"/>
          <w:lang w:eastAsia="zh-CN"/>
        </w:rPr>
        <w:t>我科目前有李建军主任医师、郭江主任医师、李洪璐副主任医师、蔡亮副主任医师等临床经验丰富专家</w:t>
      </w:r>
      <w:bookmarkStart w:id="7" w:name="_GoBack"/>
      <w:bookmarkEnd w:id="7"/>
      <w:r>
        <w:rPr>
          <w:rFonts w:hint="eastAsia" w:ascii="Arial" w:hAnsi="Arial" w:eastAsia="等线" w:cs="Arial"/>
          <w:sz w:val="22"/>
          <w:lang w:eastAsia="zh-CN"/>
        </w:rPr>
        <w:t>手把手带教。</w:t>
      </w:r>
    </w:p>
    <w:p w14:paraId="3786D90C">
      <w:pPr>
        <w:spacing w:before="120" w:after="120" w:line="288" w:lineRule="auto"/>
        <w:ind w:left="0" w:firstLine="440" w:firstLineChars="200"/>
        <w:jc w:val="left"/>
      </w:pPr>
      <w:r>
        <w:rPr>
          <w:rFonts w:ascii="Arial" w:hAnsi="Arial" w:eastAsia="等线" w:cs="Arial"/>
          <w:sz w:val="22"/>
        </w:rPr>
        <w:t>在教学培养方面，科室拥有完善的进修教学体系，依托首都医科大学教学平台，建立了 “理论授课、手术观摩、手把手实操、病例研讨、科研指导” 五位一体的培养模式。科室定期开展晨晚会诊、疑难病例讨论、前沿技术学术讲座，由资深主任医师、主治医师一对一带教，针对性帮助进修医师夯实理论基础、规范手术操作。同时，依托国家消融培训基地资质，可为进修医师提供标准化的微创消融技术专项培训，助力学员熟练掌握各类介入手术适应症、操作规范、并发症防控核心技能。</w:t>
      </w:r>
    </w:p>
    <w:p w14:paraId="6BC2A21A">
      <w:pPr>
        <w:spacing w:before="320" w:after="120" w:line="288" w:lineRule="auto"/>
        <w:ind w:left="0"/>
        <w:jc w:val="left"/>
        <w:outlineLvl w:val="1"/>
      </w:pPr>
      <w:bookmarkStart w:id="4" w:name="heading_4"/>
      <w:r>
        <w:rPr>
          <w:rFonts w:ascii="Arial" w:hAnsi="Arial" w:eastAsia="等线" w:cs="Arial"/>
          <w:b/>
          <w:sz w:val="32"/>
        </w:rPr>
        <w:t>五、进修招生对象及要求</w:t>
      </w:r>
      <w:bookmarkEnd w:id="4"/>
    </w:p>
    <w:p w14:paraId="37FEDD59">
      <w:pPr>
        <w:numPr>
          <w:ilvl w:val="0"/>
          <w:numId w:val="2"/>
        </w:numPr>
        <w:spacing w:before="120" w:after="120" w:line="288" w:lineRule="auto"/>
        <w:ind w:left="0"/>
        <w:jc w:val="left"/>
      </w:pPr>
      <w:r>
        <w:rPr>
          <w:rFonts w:ascii="Arial" w:hAnsi="Arial" w:eastAsia="等线" w:cs="Arial"/>
          <w:b/>
          <w:sz w:val="22"/>
        </w:rPr>
        <w:t>招生对象</w:t>
      </w:r>
      <w:r>
        <w:rPr>
          <w:rFonts w:ascii="Arial" w:hAnsi="Arial" w:eastAsia="等线" w:cs="Arial"/>
          <w:sz w:val="22"/>
        </w:rPr>
        <w:t>：全国各级医院从事介入科、肿瘤科、肝胆外科、放射科等相关专业的临床医师。</w:t>
      </w:r>
    </w:p>
    <w:p w14:paraId="6A55D6EA">
      <w:pPr>
        <w:numPr>
          <w:ilvl w:val="0"/>
          <w:numId w:val="3"/>
        </w:numPr>
        <w:spacing w:before="120" w:after="120" w:line="288" w:lineRule="auto"/>
        <w:ind w:left="0"/>
        <w:jc w:val="left"/>
      </w:pPr>
      <w:r>
        <w:rPr>
          <w:rFonts w:ascii="Arial" w:hAnsi="Arial" w:eastAsia="等线" w:cs="Arial"/>
          <w:b/>
          <w:sz w:val="22"/>
        </w:rPr>
        <w:t>资质要求</w:t>
      </w:r>
      <w:r>
        <w:rPr>
          <w:rFonts w:ascii="Arial" w:hAnsi="Arial" w:eastAsia="等线" w:cs="Arial"/>
          <w:sz w:val="22"/>
        </w:rPr>
        <w:t>：具备执业医师资格，本科及以上学历，拥有 1 年及以上临床工作经验，熟悉基础影像学诊断与临床诊疗流程。</w:t>
      </w:r>
    </w:p>
    <w:p w14:paraId="5E4B02C9">
      <w:pPr>
        <w:numPr>
          <w:ilvl w:val="0"/>
          <w:numId w:val="4"/>
        </w:numPr>
        <w:spacing w:before="120" w:after="120" w:line="288" w:lineRule="auto"/>
        <w:ind w:left="0"/>
        <w:jc w:val="left"/>
      </w:pPr>
      <w:r>
        <w:rPr>
          <w:rFonts w:ascii="Arial" w:hAnsi="Arial" w:eastAsia="等线" w:cs="Arial"/>
          <w:b/>
          <w:sz w:val="22"/>
        </w:rPr>
        <w:t>素养要求</w:t>
      </w:r>
      <w:r>
        <w:rPr>
          <w:rFonts w:ascii="Arial" w:hAnsi="Arial" w:eastAsia="等线" w:cs="Arial"/>
          <w:sz w:val="22"/>
        </w:rPr>
        <w:t>：热爱微创介入医学事业，治学严谨、作风踏实，遵守医院及科室规章制度，具备良好的医患沟通能力与团队协作精神，能够全身心投入进修学习。</w:t>
      </w:r>
    </w:p>
    <w:p w14:paraId="230B7D0B">
      <w:pPr>
        <w:spacing w:before="320" w:after="120" w:line="288" w:lineRule="auto"/>
        <w:ind w:left="0"/>
        <w:jc w:val="left"/>
        <w:outlineLvl w:val="1"/>
      </w:pPr>
      <w:bookmarkStart w:id="5" w:name="heading_5"/>
      <w:r>
        <w:rPr>
          <w:rFonts w:ascii="Arial" w:hAnsi="Arial" w:eastAsia="等线" w:cs="Arial"/>
          <w:b/>
          <w:sz w:val="32"/>
        </w:rPr>
        <w:t>六、进修期限与培养目标</w:t>
      </w:r>
      <w:bookmarkEnd w:id="5"/>
    </w:p>
    <w:p w14:paraId="300EA0B5">
      <w:pPr>
        <w:numPr>
          <w:ilvl w:val="0"/>
          <w:numId w:val="5"/>
        </w:numPr>
        <w:spacing w:before="120" w:after="120" w:line="288" w:lineRule="auto"/>
        <w:ind w:left="0"/>
        <w:jc w:val="left"/>
      </w:pPr>
      <w:r>
        <w:rPr>
          <w:rFonts w:ascii="Arial" w:hAnsi="Arial" w:eastAsia="等线" w:cs="Arial"/>
          <w:b/>
          <w:sz w:val="22"/>
        </w:rPr>
        <w:t>进修期限</w:t>
      </w:r>
      <w:r>
        <w:rPr>
          <w:rFonts w:ascii="Arial" w:hAnsi="Arial" w:eastAsia="等线" w:cs="Arial"/>
          <w:sz w:val="22"/>
        </w:rPr>
        <w:t>：常规进修周期为 6-12 个月，可根据学员学习需求与基础条件，协商定制个性化进修时长。</w:t>
      </w:r>
    </w:p>
    <w:p w14:paraId="51537213">
      <w:pPr>
        <w:numPr>
          <w:ilvl w:val="0"/>
          <w:numId w:val="6"/>
        </w:numPr>
        <w:spacing w:before="120" w:after="120" w:line="288" w:lineRule="auto"/>
        <w:ind w:left="0"/>
        <w:jc w:val="left"/>
      </w:pPr>
      <w:r>
        <w:rPr>
          <w:rFonts w:ascii="Arial" w:hAnsi="Arial" w:eastAsia="等线" w:cs="Arial"/>
          <w:b/>
          <w:sz w:val="22"/>
        </w:rPr>
        <w:t>培养目标</w:t>
      </w:r>
      <w:r>
        <w:rPr>
          <w:rFonts w:ascii="Arial" w:hAnsi="Arial" w:eastAsia="等线" w:cs="Arial"/>
          <w:sz w:val="22"/>
        </w:rPr>
        <w:t>：通过系统进修，让学员熟练掌握肝胆肿瘤及多系统实体肿瘤常规介入手术操作，独立处理常见手术并发症；掌握肿瘤微创介入综合诊疗理念与个体化治疗方案；熟悉介入医学前沿技术与科研思路，学成后可独立开展常规肿瘤介入诊疗工作，具备处理复杂疑难病例的能力，可自主开展基础临床科研工作。</w:t>
      </w:r>
    </w:p>
    <w:p w14:paraId="7EE4A126">
      <w:pPr>
        <w:spacing w:before="320" w:after="120" w:line="288" w:lineRule="auto"/>
        <w:ind w:left="0"/>
        <w:jc w:val="left"/>
        <w:outlineLvl w:val="1"/>
      </w:pPr>
      <w:bookmarkStart w:id="6" w:name="heading_6"/>
      <w:r>
        <w:rPr>
          <w:rFonts w:ascii="Arial" w:hAnsi="Arial" w:eastAsia="等线" w:cs="Arial"/>
          <w:b/>
          <w:sz w:val="32"/>
        </w:rPr>
        <w:t>七、报名方式与须知</w:t>
      </w:r>
      <w:bookmarkEnd w:id="6"/>
    </w:p>
    <w:p w14:paraId="2015E5BE">
      <w:pPr>
        <w:numPr>
          <w:ilvl w:val="0"/>
          <w:numId w:val="7"/>
        </w:numPr>
        <w:spacing w:before="120" w:after="120" w:line="288" w:lineRule="auto"/>
        <w:ind w:left="0"/>
        <w:jc w:val="left"/>
      </w:pPr>
      <w:r>
        <w:rPr>
          <w:rFonts w:ascii="Arial" w:hAnsi="Arial" w:eastAsia="等线" w:cs="Arial"/>
          <w:b/>
          <w:sz w:val="22"/>
        </w:rPr>
        <w:t>报名材料</w:t>
      </w:r>
      <w:r>
        <w:rPr>
          <w:rFonts w:ascii="Arial" w:hAnsi="Arial" w:eastAsia="等线" w:cs="Arial"/>
          <w:sz w:val="22"/>
        </w:rPr>
        <w:t>：个人简历、执业医师证书、职称证书、学历学位证书复印件、单位推荐介绍信。</w:t>
      </w:r>
    </w:p>
    <w:p w14:paraId="716C0962">
      <w:pPr>
        <w:numPr>
          <w:ilvl w:val="0"/>
          <w:numId w:val="8"/>
        </w:numPr>
        <w:spacing w:before="120" w:after="120" w:line="288" w:lineRule="auto"/>
        <w:ind w:left="0"/>
        <w:jc w:val="left"/>
      </w:pPr>
      <w:r>
        <w:rPr>
          <w:rFonts w:ascii="Arial" w:hAnsi="Arial" w:eastAsia="等线" w:cs="Arial"/>
          <w:b/>
          <w:sz w:val="22"/>
        </w:rPr>
        <w:t>报名流程</w:t>
      </w:r>
      <w:r>
        <w:rPr>
          <w:rFonts w:ascii="Arial" w:hAnsi="Arial" w:eastAsia="等线" w:cs="Arial"/>
          <w:sz w:val="22"/>
        </w:rPr>
        <w:t>：学员提前提交报名材料，经科室审核通过后，统一办理医院进修入职手续，按期报到进修。</w:t>
      </w:r>
    </w:p>
    <w:p w14:paraId="56657AA8">
      <w:pPr>
        <w:numPr>
          <w:ilvl w:val="0"/>
          <w:numId w:val="9"/>
        </w:numPr>
        <w:spacing w:before="120" w:after="120" w:line="288" w:lineRule="auto"/>
        <w:ind w:left="0"/>
        <w:jc w:val="left"/>
      </w:pPr>
      <w:r>
        <w:rPr>
          <w:rFonts w:ascii="Arial" w:hAnsi="Arial" w:eastAsia="等线" w:cs="Arial"/>
          <w:b/>
          <w:sz w:val="22"/>
        </w:rPr>
        <w:t>相关待遇</w:t>
      </w:r>
      <w:r>
        <w:rPr>
          <w:rFonts w:ascii="Arial" w:hAnsi="Arial" w:eastAsia="等线" w:cs="Arial"/>
          <w:sz w:val="22"/>
        </w:rPr>
        <w:t>：进修期间统一安排住宿，学员参与科室日常临床、教学、科研工作，享受科室规范化带教资源。</w:t>
      </w:r>
    </w:p>
    <w:p w14:paraId="7CE07252">
      <w:pPr>
        <w:spacing w:before="120" w:after="120" w:line="288" w:lineRule="auto"/>
        <w:ind w:left="0"/>
        <w:jc w:val="left"/>
      </w:pPr>
    </w:p>
    <w:p w14:paraId="71A969B3">
      <w:pPr>
        <w:spacing w:before="320" w:after="120" w:line="288" w:lineRule="auto"/>
        <w:ind w:left="0"/>
        <w:jc w:val="left"/>
        <w:outlineLvl w:val="1"/>
        <w:rPr>
          <w:rFonts w:hint="eastAsia" w:ascii="Arial" w:hAnsi="Arial" w:eastAsia="等线" w:cs="Arial"/>
          <w:b/>
          <w:sz w:val="32"/>
          <w:lang w:val="en-US" w:eastAsia="zh-CN"/>
        </w:rPr>
      </w:pPr>
      <w:r>
        <w:rPr>
          <w:rFonts w:hint="eastAsia" w:ascii="Arial" w:hAnsi="Arial" w:eastAsia="等线" w:cs="Arial"/>
          <w:b/>
          <w:sz w:val="32"/>
          <w:lang w:val="en-US" w:eastAsia="zh-CN"/>
        </w:rPr>
        <w:t>八、进修咨询电话</w:t>
      </w:r>
    </w:p>
    <w:p w14:paraId="51089288">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科室：010-84322370</w:t>
      </w:r>
    </w:p>
    <w:p w14:paraId="6960359A">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科室联系老师：13521362027</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16" w:usb3="00000000" w:csb0="00040000" w:csb1="00000000"/>
  </w:font>
  <w:font w:name="汉仪中等线KW">
    <w:panose1 w:val="01010104010101010101"/>
    <w:charset w:val="86"/>
    <w:family w:val="auto"/>
    <w:pitch w:val="default"/>
    <w:sig w:usb0="00000000" w:usb1="00000000" w:usb2="00000000" w:usb3="00000000" w:csb0="00040001" w:csb1="00000000"/>
  </w:font>
  <w:font w:name="Helvetica Neue">
    <w:panose1 w:val="02000503000000020004"/>
    <w:charset w:val="00"/>
    <w:family w:val="auto"/>
    <w:pitch w:val="default"/>
    <w:sig w:usb0="00000000" w:usb1="00000000" w:usb2="00000010" w:usb3="00000000" w:csb0="00000000" w:csb1="00000000"/>
  </w:font>
  <w:font w:name="汉仪中黑KW">
    <w:panose1 w:val="00020600040101010101"/>
    <w:charset w:val="86"/>
    <w:family w:val="auto"/>
    <w:pitch w:val="default"/>
    <w:sig w:usb0="00000000" w:usb1="00000000" w:usb2="00000016" w:usb3="00000000" w:csb0="00040000" w:csb1="00000000"/>
  </w:font>
  <w:font w:name="Kingsoft Sign">
    <w:panose1 w:val="05050102010706020507"/>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C7F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1008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FD29F3"/>
    <w:multiLevelType w:val="singleLevel"/>
    <w:tmpl w:val="C8FD29F3"/>
    <w:lvl w:ilvl="0" w:tentative="0">
      <w:start w:val="1"/>
      <w:numFmt w:val="decimal"/>
      <w:lvlText w:val="%1."/>
      <w:lvlJc w:val="left"/>
      <w:rPr>
        <w:color w:val="3370FF"/>
      </w:rPr>
    </w:lvl>
  </w:abstractNum>
  <w:abstractNum w:abstractNumId="1">
    <w:nsid w:val="DFDE559B"/>
    <w:multiLevelType w:val="singleLevel"/>
    <w:tmpl w:val="DFDE559B"/>
    <w:lvl w:ilvl="0" w:tentative="0">
      <w:start w:val="1"/>
      <w:numFmt w:val="decimal"/>
      <w:lvlText w:val="%1."/>
      <w:lvlJc w:val="left"/>
      <w:rPr>
        <w:color w:val="3370FF"/>
      </w:rPr>
    </w:lvl>
  </w:abstractNum>
  <w:abstractNum w:abstractNumId="2">
    <w:nsid w:val="EB6CC64B"/>
    <w:multiLevelType w:val="singleLevel"/>
    <w:tmpl w:val="EB6CC64B"/>
    <w:lvl w:ilvl="0" w:tentative="0">
      <w:start w:val="2"/>
      <w:numFmt w:val="decimal"/>
      <w:lvlText w:val="%1."/>
      <w:lvlJc w:val="left"/>
      <w:rPr>
        <w:color w:val="3370FF"/>
      </w:rPr>
    </w:lvl>
  </w:abstractNum>
  <w:abstractNum w:abstractNumId="3">
    <w:nsid w:val="EFFB7003"/>
    <w:multiLevelType w:val="singleLevel"/>
    <w:tmpl w:val="EFFB7003"/>
    <w:lvl w:ilvl="0" w:tentative="0">
      <w:start w:val="1"/>
      <w:numFmt w:val="decimal"/>
      <w:lvlText w:val="%1."/>
      <w:lvlJc w:val="left"/>
      <w:rPr>
        <w:color w:val="3370FF"/>
      </w:rPr>
    </w:lvl>
  </w:abstractNum>
  <w:abstractNum w:abstractNumId="4">
    <w:nsid w:val="FEA5A3C0"/>
    <w:multiLevelType w:val="singleLevel"/>
    <w:tmpl w:val="FEA5A3C0"/>
    <w:lvl w:ilvl="0" w:tentative="0">
      <w:start w:val="3"/>
      <w:numFmt w:val="decimal"/>
      <w:lvlText w:val="%1."/>
      <w:lvlJc w:val="left"/>
      <w:rPr>
        <w:color w:val="3370FF"/>
      </w:rPr>
    </w:lvl>
  </w:abstractNum>
  <w:abstractNum w:abstractNumId="5">
    <w:nsid w:val="FF7B0A9B"/>
    <w:multiLevelType w:val="singleLevel"/>
    <w:tmpl w:val="FF7B0A9B"/>
    <w:lvl w:ilvl="0" w:tentative="0">
      <w:start w:val="2"/>
      <w:numFmt w:val="decimal"/>
      <w:lvlText w:val="%1."/>
      <w:lvlJc w:val="left"/>
      <w:rPr>
        <w:color w:val="3370FF"/>
      </w:rPr>
    </w:lvl>
  </w:abstractNum>
  <w:abstractNum w:abstractNumId="6">
    <w:nsid w:val="2FEB7631"/>
    <w:multiLevelType w:val="singleLevel"/>
    <w:tmpl w:val="2FEB7631"/>
    <w:lvl w:ilvl="0" w:tentative="0">
      <w:start w:val="3"/>
      <w:numFmt w:val="decimal"/>
      <w:lvlText w:val="%1."/>
      <w:lvlJc w:val="left"/>
      <w:rPr>
        <w:color w:val="3370FF"/>
      </w:rPr>
    </w:lvl>
  </w:abstractNum>
  <w:abstractNum w:abstractNumId="7">
    <w:nsid w:val="593F0B72"/>
    <w:multiLevelType w:val="singleLevel"/>
    <w:tmpl w:val="593F0B72"/>
    <w:lvl w:ilvl="0" w:tentative="0">
      <w:start w:val="2"/>
      <w:numFmt w:val="decimal"/>
      <w:lvlText w:val="%1."/>
      <w:lvlJc w:val="left"/>
      <w:rPr>
        <w:color w:val="3370FF"/>
      </w:rPr>
    </w:lvl>
  </w:abstractNum>
  <w:abstractNum w:abstractNumId="8">
    <w:nsid w:val="7FFF3511"/>
    <w:multiLevelType w:val="singleLevel"/>
    <w:tmpl w:val="7FFF3511"/>
    <w:lvl w:ilvl="0" w:tentative="0">
      <w:start w:val="1"/>
      <w:numFmt w:val="decimal"/>
      <w:lvlText w:val="%1."/>
      <w:lvlJc w:val="left"/>
      <w:rPr>
        <w:color w:val="3370FF"/>
      </w:rPr>
    </w:lvl>
  </w:abstractNum>
  <w:num w:numId="1">
    <w:abstractNumId w:val="8"/>
  </w:num>
  <w:num w:numId="2">
    <w:abstractNumId w:val="0"/>
  </w:num>
  <w:num w:numId="3">
    <w:abstractNumId w:val="2"/>
  </w:num>
  <w:num w:numId="4">
    <w:abstractNumId w:val="6"/>
  </w:num>
  <w:num w:numId="5">
    <w:abstractNumId w:val="1"/>
  </w:num>
  <w:num w:numId="6">
    <w:abstractNumId w:val="5"/>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2026-09-22T13:07:00Z</dcterms:created>
  <dc:creator>Apache POI</dc:creator>
  <cp:lastModifiedBy>iPhone</cp:lastModifiedBy>
  <dcterms:modified xsi:type="dcterms:W3CDTF">2026-09-22T10:37:14Z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{"Label":"1","ContentProducer":"001191110102MACQD9K64010000","ProduceID":"7687974477234655440","ReservedCode1":"","ContentPropagator":"","PropagateID":"","ReservedCode2":""}</vt:lpwstr>
  </property>
  <property fmtid="{D5CDD505-2E9C-101B-9397-08002B2CF9AE}" pid="3" name="KSOProductBuildVer">
    <vt:lpwstr>2052-26.9.0</vt:lpwstr>
  </property>
  <property fmtid="{D5CDD505-2E9C-101B-9397-08002B2CF9AE}" pid="4" name="ICV">
    <vt:lpwstr>142812DA6B706992EA2DB16AE3509EA3_42</vt:lpwstr>
  </property>
</Properties>
</file>