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708D2">
      <w:pPr>
        <w:spacing w:line="560" w:lineRule="exact"/>
        <w:jc w:val="center"/>
        <w:rPr>
          <w:rFonts w:ascii="黑体" w:hAnsi="仿宋" w:eastAsia="黑体" w:cs="Times New Roman"/>
          <w:b/>
          <w:bCs/>
          <w:kern w:val="24"/>
          <w:sz w:val="32"/>
          <w:szCs w:val="32"/>
        </w:rPr>
      </w:pPr>
      <w:r>
        <w:rPr>
          <w:rFonts w:hint="eastAsia" w:ascii="黑体" w:hAnsi="仿宋" w:eastAsia="黑体" w:cs="Times New Roman"/>
          <w:b/>
          <w:bCs/>
          <w:kern w:val="24"/>
          <w:sz w:val="32"/>
          <w:szCs w:val="32"/>
        </w:rPr>
        <w:t>首都医科大学附属北京地坛医院</w:t>
      </w:r>
    </w:p>
    <w:p w14:paraId="3979CD66">
      <w:pPr>
        <w:spacing w:line="560" w:lineRule="exact"/>
        <w:jc w:val="center"/>
        <w:rPr>
          <w:rFonts w:ascii="黑体" w:hAnsi="仿宋" w:eastAsia="黑体"/>
        </w:rPr>
      </w:pPr>
      <w:r>
        <w:rPr>
          <w:rFonts w:hint="eastAsia" w:ascii="黑体" w:hAnsi="仿宋" w:eastAsia="黑体" w:cs="Times New Roman"/>
          <w:b/>
          <w:bCs/>
          <w:kern w:val="24"/>
          <w:sz w:val="32"/>
          <w:szCs w:val="32"/>
        </w:rPr>
        <w:t>中西医结合</w:t>
      </w:r>
      <w:r>
        <w:rPr>
          <w:rFonts w:hint="eastAsia" w:ascii="黑体" w:hAnsi="仿宋" w:eastAsia="黑体" w:cs="Times New Roman"/>
          <w:b/>
          <w:bCs/>
          <w:kern w:val="24"/>
          <w:sz w:val="32"/>
          <w:szCs w:val="32"/>
          <w:lang w:val="en-US" w:eastAsia="zh-CN"/>
        </w:rPr>
        <w:t>二科</w:t>
      </w:r>
      <w:r>
        <w:rPr>
          <w:rFonts w:hint="eastAsia" w:ascii="黑体" w:hAnsi="仿宋" w:eastAsia="黑体" w:cs="Times New Roman"/>
          <w:b/>
          <w:bCs/>
          <w:kern w:val="24"/>
          <w:sz w:val="32"/>
          <w:szCs w:val="32"/>
        </w:rPr>
        <w:t>招生简章</w:t>
      </w:r>
    </w:p>
    <w:p w14:paraId="0A8D548F">
      <w:pPr>
        <w:spacing w:line="360" w:lineRule="auto"/>
        <w:ind w:firstLine="480" w:firstLineChars="200"/>
        <w:jc w:val="left"/>
        <w:rPr>
          <w:rFonts w:hint="default" w:ascii="宋体" w:hAnsi="宋体" w:eastAsia="宋体"/>
          <w:sz w:val="24"/>
          <w:szCs w:val="24"/>
          <w:lang w:val="en-US" w:eastAsia="zh-CN"/>
        </w:rPr>
      </w:pPr>
      <w:r>
        <w:rPr>
          <w:rFonts w:hint="eastAsia" w:ascii="宋体" w:hAnsi="宋体" w:eastAsia="宋体"/>
          <w:sz w:val="24"/>
          <w:szCs w:val="24"/>
          <w:lang w:val="en-US" w:eastAsia="zh-CN"/>
        </w:rPr>
        <w:t>一、</w:t>
      </w:r>
      <w:r>
        <w:rPr>
          <w:rFonts w:hint="eastAsia" w:ascii="宋体" w:hAnsi="宋体" w:eastAsia="宋体"/>
          <w:b/>
          <w:bCs/>
          <w:sz w:val="24"/>
          <w:szCs w:val="24"/>
          <w:lang w:val="en-US" w:eastAsia="zh-CN"/>
        </w:rPr>
        <w:t>科室简介</w:t>
      </w:r>
    </w:p>
    <w:p w14:paraId="3C8B1C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sz w:val="24"/>
          <w:szCs w:val="24"/>
          <w:lang w:val="en-US" w:eastAsia="zh-CN"/>
        </w:rPr>
      </w:pPr>
      <w:r>
        <w:rPr>
          <w:rFonts w:hint="eastAsia" w:ascii="宋体" w:hAnsi="宋体" w:eastAsia="宋体"/>
          <w:sz w:val="24"/>
          <w:szCs w:val="24"/>
        </w:rPr>
        <w:t>首都医科大学附属北京地坛医院中西医结合二科是国家中医药管理局中医传染病重点学科</w:t>
      </w:r>
      <w:r>
        <w:rPr>
          <w:rFonts w:hint="eastAsia" w:ascii="宋体" w:hAnsi="宋体" w:eastAsia="宋体"/>
          <w:sz w:val="24"/>
          <w:szCs w:val="24"/>
          <w:lang w:eastAsia="zh-CN"/>
        </w:rPr>
        <w:t>、</w:t>
      </w:r>
      <w:r>
        <w:rPr>
          <w:rFonts w:hint="eastAsia" w:ascii="宋体" w:hAnsi="宋体" w:eastAsia="宋体"/>
          <w:sz w:val="24"/>
          <w:szCs w:val="24"/>
        </w:rPr>
        <w:t>中医肝病重点专科</w:t>
      </w:r>
      <w:r>
        <w:rPr>
          <w:rFonts w:hint="eastAsia" w:ascii="宋体" w:hAnsi="宋体" w:eastAsia="宋体"/>
          <w:sz w:val="24"/>
          <w:szCs w:val="24"/>
          <w:lang w:eastAsia="zh-CN"/>
        </w:rPr>
        <w:t>、</w:t>
      </w:r>
      <w:r>
        <w:rPr>
          <w:rFonts w:hint="eastAsia" w:ascii="宋体" w:hAnsi="宋体" w:eastAsia="宋体"/>
          <w:sz w:val="24"/>
          <w:szCs w:val="24"/>
        </w:rPr>
        <w:t>综合医院示范中医科、北京市中医药研究型病房、中医药科技成果转化和知识产权保护建设单位、医管中心登峰团队</w:t>
      </w:r>
      <w:r>
        <w:rPr>
          <w:rFonts w:hint="eastAsia" w:ascii="宋体" w:hAnsi="宋体" w:eastAsia="宋体"/>
          <w:sz w:val="24"/>
          <w:szCs w:val="24"/>
          <w:lang w:eastAsia="zh-CN"/>
        </w:rPr>
        <w:t>，</w:t>
      </w:r>
      <w:r>
        <w:rPr>
          <w:rFonts w:hint="eastAsia" w:ascii="宋体" w:hAnsi="宋体" w:eastAsia="宋体"/>
          <w:sz w:val="24"/>
          <w:szCs w:val="24"/>
        </w:rPr>
        <w:t>首都医科大学、北京中医药大学硕士/博士研究生培养点，</w:t>
      </w:r>
      <w:r>
        <w:rPr>
          <w:rFonts w:hint="eastAsia" w:ascii="宋体" w:hAnsi="宋体" w:eastAsia="宋体"/>
          <w:sz w:val="24"/>
          <w:szCs w:val="24"/>
          <w:lang w:val="en-US" w:eastAsia="zh-CN"/>
        </w:rPr>
        <w:t>北京中医药大学传染病教学基地，医教研综合实力雄厚，在全国中西医结合肝病领域具有较高影响力。</w:t>
      </w:r>
    </w:p>
    <w:p w14:paraId="651DECF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sz w:val="24"/>
          <w:szCs w:val="24"/>
        </w:rPr>
      </w:pPr>
      <w:r>
        <w:rPr>
          <w:rFonts w:hint="eastAsia" w:ascii="宋体" w:hAnsi="宋体" w:eastAsia="宋体"/>
          <w:sz w:val="24"/>
          <w:szCs w:val="24"/>
        </w:rPr>
        <w:t>中西医结合</w:t>
      </w:r>
      <w:r>
        <w:rPr>
          <w:rFonts w:hint="eastAsia" w:ascii="宋体" w:hAnsi="宋体" w:eastAsia="宋体"/>
          <w:sz w:val="24"/>
          <w:szCs w:val="24"/>
          <w:lang w:val="en-US" w:eastAsia="zh-CN"/>
        </w:rPr>
        <w:t>二科</w:t>
      </w:r>
      <w:r>
        <w:rPr>
          <w:rFonts w:hint="eastAsia" w:ascii="宋体" w:hAnsi="宋体" w:eastAsia="宋体"/>
          <w:sz w:val="24"/>
          <w:szCs w:val="24"/>
        </w:rPr>
        <w:t>床位</w:t>
      </w:r>
      <w:r>
        <w:rPr>
          <w:rFonts w:hint="eastAsia" w:ascii="宋体" w:hAnsi="宋体" w:eastAsia="宋体"/>
          <w:sz w:val="24"/>
          <w:szCs w:val="24"/>
          <w:lang w:val="en-US" w:eastAsia="zh-CN"/>
        </w:rPr>
        <w:t>46</w:t>
      </w:r>
      <w:r>
        <w:rPr>
          <w:rFonts w:hint="eastAsia" w:ascii="宋体" w:hAnsi="宋体" w:eastAsia="宋体"/>
          <w:sz w:val="24"/>
          <w:szCs w:val="24"/>
        </w:rPr>
        <w:t>张，年出院患者2000+人次，危重患者占</w:t>
      </w:r>
      <w:r>
        <w:rPr>
          <w:rFonts w:hint="eastAsia" w:ascii="宋体" w:hAnsi="宋体" w:eastAsia="宋体"/>
          <w:sz w:val="24"/>
          <w:szCs w:val="24"/>
          <w:lang w:val="en-US" w:eastAsia="zh-CN"/>
        </w:rPr>
        <w:t>5</w:t>
      </w:r>
      <w:r>
        <w:rPr>
          <w:rFonts w:hint="eastAsia" w:ascii="宋体" w:hAnsi="宋体" w:eastAsia="宋体"/>
          <w:sz w:val="24"/>
          <w:szCs w:val="24"/>
        </w:rPr>
        <w:t>0%以上</w:t>
      </w:r>
      <w:r>
        <w:rPr>
          <w:rFonts w:hint="eastAsia" w:ascii="宋体" w:hAnsi="宋体" w:eastAsia="宋体"/>
          <w:sz w:val="24"/>
          <w:szCs w:val="24"/>
          <w:lang w:eastAsia="zh-CN"/>
        </w:rPr>
        <w:t>；</w:t>
      </w:r>
      <w:r>
        <w:rPr>
          <w:rFonts w:hint="eastAsia" w:ascii="宋体" w:hAnsi="宋体" w:eastAsia="宋体"/>
          <w:sz w:val="24"/>
          <w:szCs w:val="24"/>
          <w:lang w:val="en-US" w:eastAsia="zh-CN"/>
        </w:rPr>
        <w:t>年门诊量4万多人次，临床病例资源丰富、病种齐全。</w:t>
      </w:r>
      <w:r>
        <w:rPr>
          <w:rFonts w:hint="eastAsia" w:ascii="宋体" w:hAnsi="宋体" w:eastAsia="宋体"/>
          <w:sz w:val="24"/>
          <w:szCs w:val="24"/>
        </w:rPr>
        <w:t>现有医护人员</w:t>
      </w:r>
      <w:r>
        <w:rPr>
          <w:rFonts w:hint="eastAsia" w:ascii="宋体" w:hAnsi="宋体" w:eastAsia="宋体"/>
          <w:sz w:val="24"/>
          <w:szCs w:val="24"/>
          <w:lang w:val="en-US" w:eastAsia="zh-CN"/>
        </w:rPr>
        <w:t>36</w:t>
      </w:r>
      <w:r>
        <w:rPr>
          <w:rFonts w:hint="eastAsia" w:ascii="宋体" w:hAnsi="宋体" w:eastAsia="宋体"/>
          <w:sz w:val="24"/>
          <w:szCs w:val="24"/>
        </w:rPr>
        <w:t>人，其中博士</w:t>
      </w:r>
      <w:r>
        <w:rPr>
          <w:rFonts w:hint="eastAsia" w:ascii="宋体" w:hAnsi="宋体" w:eastAsia="宋体"/>
          <w:sz w:val="24"/>
          <w:szCs w:val="24"/>
          <w:lang w:val="en-US" w:eastAsia="zh-CN"/>
        </w:rPr>
        <w:t>13</w:t>
      </w:r>
      <w:r>
        <w:rPr>
          <w:rFonts w:hint="eastAsia" w:ascii="宋体" w:hAnsi="宋体" w:eastAsia="宋体"/>
          <w:sz w:val="24"/>
          <w:szCs w:val="24"/>
        </w:rPr>
        <w:t>人</w:t>
      </w:r>
      <w:r>
        <w:rPr>
          <w:rFonts w:hint="eastAsia" w:ascii="宋体" w:hAnsi="宋体" w:eastAsia="宋体"/>
          <w:sz w:val="24"/>
          <w:szCs w:val="24"/>
          <w:lang w:eastAsia="zh-CN"/>
        </w:rPr>
        <w:t>，</w:t>
      </w:r>
      <w:r>
        <w:rPr>
          <w:rFonts w:hint="eastAsia" w:ascii="宋体" w:hAnsi="宋体" w:eastAsia="宋体"/>
          <w:sz w:val="24"/>
          <w:szCs w:val="24"/>
        </w:rPr>
        <w:t>硕士</w:t>
      </w:r>
      <w:r>
        <w:rPr>
          <w:rFonts w:hint="eastAsia" w:ascii="宋体" w:hAnsi="宋体" w:eastAsia="宋体"/>
          <w:sz w:val="24"/>
          <w:szCs w:val="24"/>
          <w:lang w:val="en-US" w:eastAsia="zh-CN"/>
        </w:rPr>
        <w:t>2</w:t>
      </w:r>
      <w:r>
        <w:rPr>
          <w:rFonts w:hint="eastAsia" w:ascii="宋体" w:hAnsi="宋体" w:eastAsia="宋体"/>
          <w:sz w:val="24"/>
          <w:szCs w:val="24"/>
        </w:rPr>
        <w:t>人</w:t>
      </w:r>
      <w:r>
        <w:rPr>
          <w:rFonts w:hint="eastAsia" w:ascii="宋体" w:hAnsi="宋体" w:eastAsia="宋体"/>
          <w:sz w:val="24"/>
          <w:szCs w:val="24"/>
          <w:lang w:eastAsia="zh-CN"/>
        </w:rPr>
        <w:t>，</w:t>
      </w:r>
      <w:r>
        <w:rPr>
          <w:rFonts w:hint="eastAsia" w:ascii="宋体" w:hAnsi="宋体" w:eastAsia="宋体"/>
          <w:sz w:val="24"/>
          <w:szCs w:val="24"/>
        </w:rPr>
        <w:t>博士后进站人员</w:t>
      </w:r>
      <w:r>
        <w:rPr>
          <w:rFonts w:hint="eastAsia" w:ascii="宋体" w:hAnsi="宋体" w:eastAsia="宋体"/>
          <w:sz w:val="24"/>
          <w:szCs w:val="24"/>
          <w:lang w:val="en-US" w:eastAsia="zh-CN"/>
        </w:rPr>
        <w:t>2</w:t>
      </w:r>
      <w:r>
        <w:rPr>
          <w:rFonts w:hint="eastAsia" w:ascii="宋体" w:hAnsi="宋体" w:eastAsia="宋体"/>
          <w:sz w:val="24"/>
          <w:szCs w:val="24"/>
        </w:rPr>
        <w:t>人，高级职称1</w:t>
      </w:r>
      <w:r>
        <w:rPr>
          <w:rFonts w:hint="eastAsia" w:ascii="宋体" w:hAnsi="宋体" w:eastAsia="宋体"/>
          <w:sz w:val="24"/>
          <w:szCs w:val="24"/>
          <w:lang w:val="en-US" w:eastAsia="zh-CN"/>
        </w:rPr>
        <w:t>0</w:t>
      </w:r>
      <w:r>
        <w:rPr>
          <w:rFonts w:hint="eastAsia" w:ascii="宋体" w:hAnsi="宋体" w:eastAsia="宋体"/>
          <w:sz w:val="24"/>
          <w:szCs w:val="24"/>
        </w:rPr>
        <w:t>人</w:t>
      </w:r>
      <w:r>
        <w:rPr>
          <w:rFonts w:hint="eastAsia" w:ascii="宋体" w:hAnsi="宋体" w:eastAsia="宋体"/>
          <w:sz w:val="24"/>
          <w:szCs w:val="24"/>
          <w:lang w:eastAsia="zh-CN"/>
        </w:rPr>
        <w:t>，</w:t>
      </w:r>
      <w:r>
        <w:rPr>
          <w:rFonts w:hint="eastAsia" w:ascii="宋体" w:hAnsi="宋体" w:eastAsia="宋体"/>
          <w:sz w:val="24"/>
          <w:szCs w:val="24"/>
        </w:rPr>
        <w:t>博士生导师</w:t>
      </w:r>
      <w:r>
        <w:rPr>
          <w:rFonts w:hint="eastAsia" w:ascii="宋体" w:hAnsi="宋体" w:eastAsia="宋体"/>
          <w:sz w:val="24"/>
          <w:szCs w:val="24"/>
          <w:lang w:val="en-US" w:eastAsia="zh-CN"/>
        </w:rPr>
        <w:t>1</w:t>
      </w:r>
      <w:r>
        <w:rPr>
          <w:rFonts w:hint="eastAsia" w:ascii="宋体" w:hAnsi="宋体" w:eastAsia="宋体"/>
          <w:sz w:val="24"/>
          <w:szCs w:val="24"/>
        </w:rPr>
        <w:t>人</w:t>
      </w:r>
      <w:r>
        <w:rPr>
          <w:rFonts w:hint="eastAsia" w:ascii="宋体" w:hAnsi="宋体" w:eastAsia="宋体"/>
          <w:sz w:val="24"/>
          <w:szCs w:val="24"/>
          <w:lang w:eastAsia="zh-CN"/>
        </w:rPr>
        <w:t>，</w:t>
      </w:r>
      <w:r>
        <w:rPr>
          <w:rFonts w:hint="eastAsia" w:ascii="宋体" w:hAnsi="宋体" w:eastAsia="宋体"/>
          <w:sz w:val="24"/>
          <w:szCs w:val="24"/>
        </w:rPr>
        <w:t>硕士生导师</w:t>
      </w:r>
      <w:r>
        <w:rPr>
          <w:rFonts w:hint="eastAsia" w:ascii="宋体" w:hAnsi="宋体" w:eastAsia="宋体"/>
          <w:sz w:val="24"/>
          <w:szCs w:val="24"/>
          <w:lang w:val="en-US" w:eastAsia="zh-CN"/>
        </w:rPr>
        <w:t>5</w:t>
      </w:r>
      <w:r>
        <w:rPr>
          <w:rFonts w:hint="eastAsia" w:ascii="宋体" w:hAnsi="宋体" w:eastAsia="宋体"/>
          <w:sz w:val="24"/>
          <w:szCs w:val="24"/>
        </w:rPr>
        <w:t>人，首都</w:t>
      </w:r>
      <w:r>
        <w:rPr>
          <w:rFonts w:hint="eastAsia" w:ascii="宋体" w:hAnsi="宋体" w:eastAsia="宋体"/>
          <w:sz w:val="24"/>
          <w:szCs w:val="24"/>
          <w:lang w:val="en-US" w:eastAsia="zh-CN"/>
        </w:rPr>
        <w:t>中青年</w:t>
      </w:r>
      <w:r>
        <w:rPr>
          <w:rFonts w:hint="eastAsia" w:ascii="宋体" w:hAnsi="宋体" w:eastAsia="宋体"/>
          <w:sz w:val="24"/>
          <w:szCs w:val="24"/>
        </w:rPr>
        <w:t>名中医1人</w:t>
      </w:r>
      <w:r>
        <w:rPr>
          <w:rFonts w:hint="eastAsia" w:ascii="宋体" w:hAnsi="宋体" w:eastAsia="宋体"/>
          <w:sz w:val="24"/>
          <w:szCs w:val="24"/>
          <w:lang w:eastAsia="zh-CN"/>
        </w:rPr>
        <w:t>，</w:t>
      </w:r>
      <w:r>
        <w:rPr>
          <w:rFonts w:hint="eastAsia" w:ascii="宋体" w:hAnsi="宋体" w:eastAsia="宋体"/>
          <w:sz w:val="24"/>
          <w:szCs w:val="24"/>
          <w:lang w:val="en-US" w:eastAsia="zh-CN"/>
        </w:rPr>
        <w:t>国家级、省部级人才4人，局级人才5人</w:t>
      </w:r>
      <w:r>
        <w:rPr>
          <w:rFonts w:hint="eastAsia" w:ascii="宋体" w:hAnsi="宋体" w:eastAsia="宋体"/>
          <w:sz w:val="24"/>
          <w:szCs w:val="24"/>
        </w:rPr>
        <w:t>。拥有一支结构合理、技术精湛的医护人才梯队</w:t>
      </w:r>
      <w:r>
        <w:rPr>
          <w:rFonts w:hint="eastAsia" w:ascii="宋体" w:hAnsi="宋体" w:eastAsia="宋体"/>
          <w:sz w:val="24"/>
          <w:szCs w:val="24"/>
          <w:lang w:eastAsia="zh-CN"/>
        </w:rPr>
        <w:t>，</w:t>
      </w:r>
      <w:r>
        <w:rPr>
          <w:rFonts w:hint="eastAsia" w:ascii="宋体" w:hAnsi="宋体" w:eastAsia="宋体"/>
          <w:sz w:val="24"/>
          <w:szCs w:val="24"/>
        </w:rPr>
        <w:t>开展了中西医结合诊治肝癌、预防肝癌根治术后复发、肝病合并糖脂代谢紊乱、脂肪肝、重症肝病合并感染等</w:t>
      </w:r>
      <w:r>
        <w:rPr>
          <w:rFonts w:hint="eastAsia" w:ascii="宋体" w:hAnsi="宋体" w:eastAsia="宋体"/>
          <w:sz w:val="24"/>
          <w:szCs w:val="24"/>
          <w:lang w:val="en-US" w:eastAsia="zh-CN"/>
        </w:rPr>
        <w:t>临床和</w:t>
      </w:r>
      <w:r>
        <w:rPr>
          <w:rFonts w:hint="eastAsia" w:ascii="宋体" w:hAnsi="宋体" w:eastAsia="宋体"/>
          <w:sz w:val="24"/>
          <w:szCs w:val="24"/>
        </w:rPr>
        <w:t>科研工作，</w:t>
      </w:r>
      <w:r>
        <w:rPr>
          <w:rFonts w:hint="eastAsia" w:ascii="宋体" w:hAnsi="宋体" w:eastAsia="宋体"/>
          <w:sz w:val="24"/>
          <w:szCs w:val="24"/>
          <w:lang w:val="en-US" w:eastAsia="zh-CN"/>
        </w:rPr>
        <w:t>牵头负责国家十四五科技重大专项课题，承担国家级及省部级课题十余项，发表SCI论文100余篇，获发明专利10余项，培养博士、硕士研究生50余人，具备完善的进修教学培养体系。</w:t>
      </w:r>
    </w:p>
    <w:p w14:paraId="6A29A405">
      <w:pPr>
        <w:ind w:firstLine="480" w:firstLineChars="200"/>
        <w:jc w:val="left"/>
        <w:rPr>
          <w:rFonts w:ascii="宋体" w:hAnsi="宋体" w:eastAsia="宋体"/>
          <w:sz w:val="24"/>
          <w:szCs w:val="24"/>
        </w:rPr>
      </w:pPr>
      <w:r>
        <w:rPr>
          <w:rFonts w:hint="eastAsia" w:ascii="宋体" w:hAnsi="宋体" w:eastAsia="宋体"/>
          <w:sz w:val="24"/>
          <w:szCs w:val="24"/>
        </w:rPr>
        <w:drawing>
          <wp:inline distT="0" distB="0" distL="0" distR="0">
            <wp:extent cx="2207260" cy="1469390"/>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207260" cy="1469390"/>
                    </a:xfrm>
                    <a:prstGeom prst="rect">
                      <a:avLst/>
                    </a:prstGeom>
                    <a:noFill/>
                  </pic:spPr>
                </pic:pic>
              </a:graphicData>
            </a:graphic>
          </wp:inline>
        </w:drawing>
      </w:r>
      <w:r>
        <w:rPr>
          <w:rFonts w:hint="eastAsia" w:ascii="宋体" w:hAnsi="宋体" w:eastAsia="宋体"/>
          <w:sz w:val="24"/>
          <w:szCs w:val="24"/>
        </w:rPr>
        <w:drawing>
          <wp:inline distT="0" distB="0" distL="0" distR="0">
            <wp:extent cx="2018030" cy="1450975"/>
            <wp:effectExtent l="0" t="0" r="1270" b="1587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018030" cy="1450975"/>
                    </a:xfrm>
                    <a:prstGeom prst="rect">
                      <a:avLst/>
                    </a:prstGeom>
                    <a:noFill/>
                  </pic:spPr>
                </pic:pic>
              </a:graphicData>
            </a:graphic>
          </wp:inline>
        </w:drawing>
      </w:r>
    </w:p>
    <w:p w14:paraId="3DBED3FE">
      <w:pPr>
        <w:ind w:firstLine="480" w:firstLineChars="200"/>
        <w:jc w:val="left"/>
        <w:rPr>
          <w:rFonts w:ascii="宋体" w:hAnsi="宋体" w:eastAsia="宋体"/>
          <w:sz w:val="24"/>
          <w:szCs w:val="24"/>
        </w:rPr>
      </w:pPr>
    </w:p>
    <w:p w14:paraId="295A8384">
      <w:pPr>
        <w:jc w:val="center"/>
        <w:rPr>
          <w:rFonts w:ascii="宋体" w:hAnsi="宋体" w:eastAsia="宋体"/>
          <w:b/>
          <w:bCs/>
          <w:sz w:val="24"/>
          <w:szCs w:val="24"/>
        </w:rPr>
      </w:pPr>
      <w:bookmarkStart w:id="0" w:name="_Toc102646457"/>
      <w:r>
        <w:rPr>
          <w:rFonts w:hint="eastAsia" w:ascii="宋体" w:hAnsi="宋体" w:eastAsia="宋体"/>
          <w:b/>
          <w:bCs/>
          <w:sz w:val="24"/>
          <w:szCs w:val="24"/>
        </w:rPr>
        <w:t xml:space="preserve">                                               </w:t>
      </w:r>
    </w:p>
    <w:bookmarkEnd w:id="0"/>
    <w:p w14:paraId="265CFF56">
      <w:pPr>
        <w:spacing w:line="360" w:lineRule="auto"/>
        <w:jc w:val="both"/>
        <w:rPr>
          <w:rFonts w:ascii="宋体" w:hAnsi="宋体" w:eastAsia="宋体"/>
          <w:b/>
          <w:bCs/>
          <w:sz w:val="24"/>
          <w:szCs w:val="24"/>
        </w:rPr>
      </w:pPr>
      <w:r>
        <w:rPr>
          <w:rFonts w:hint="eastAsia" w:ascii="宋体" w:hAnsi="宋体" w:eastAsia="宋体"/>
          <w:b/>
          <w:bCs/>
          <w:sz w:val="24"/>
          <w:szCs w:val="24"/>
          <w:lang w:val="en-US" w:eastAsia="zh-CN"/>
        </w:rPr>
        <w:t>二、</w:t>
      </w:r>
      <w:r>
        <w:rPr>
          <w:rFonts w:hint="eastAsia" w:ascii="宋体" w:hAnsi="宋体" w:eastAsia="宋体"/>
          <w:b/>
          <w:bCs/>
          <w:sz w:val="24"/>
          <w:szCs w:val="24"/>
        </w:rPr>
        <w:t>中西医结合</w:t>
      </w:r>
      <w:r>
        <w:rPr>
          <w:rFonts w:hint="eastAsia" w:ascii="宋体" w:hAnsi="宋体" w:eastAsia="宋体"/>
          <w:b/>
          <w:bCs/>
          <w:sz w:val="24"/>
          <w:szCs w:val="24"/>
          <w:lang w:val="en-US" w:eastAsia="zh-CN"/>
        </w:rPr>
        <w:t>二科</w:t>
      </w:r>
      <w:r>
        <w:rPr>
          <w:rFonts w:hint="eastAsia" w:ascii="宋体" w:hAnsi="宋体" w:eastAsia="宋体"/>
          <w:b/>
          <w:bCs/>
          <w:sz w:val="24"/>
          <w:szCs w:val="24"/>
        </w:rPr>
        <w:t>诊治病种及特色技术</w:t>
      </w:r>
    </w:p>
    <w:p w14:paraId="24BCDED3">
      <w:pPr>
        <w:spacing w:line="360" w:lineRule="auto"/>
        <w:ind w:firstLine="480" w:firstLineChars="200"/>
        <w:jc w:val="left"/>
        <w:rPr>
          <w:rFonts w:hint="eastAsia" w:ascii="宋体" w:hAnsi="宋体" w:eastAsia="宋体" w:cs="仿宋"/>
          <w:spacing w:val="9"/>
          <w:sz w:val="24"/>
          <w:szCs w:val="24"/>
          <w:lang w:eastAsia="zh-CN"/>
        </w:rPr>
      </w:pPr>
      <w:r>
        <w:rPr>
          <w:rFonts w:hint="eastAsia" w:ascii="宋体" w:hAnsi="宋体" w:eastAsia="宋体"/>
          <w:sz w:val="24"/>
          <w:szCs w:val="24"/>
          <w:lang w:val="en-US" w:eastAsia="zh-CN"/>
        </w:rPr>
        <w:t>科室立足临床刚需，打造独具优势的中西医结合诊疗特色。以各类急慢性病毒性肝炎、肝纤维化、肝硬化、肝癌、自身免疫性肝病、药物性肝损伤、脂肪肝等肝病为主要诊疗范围，兼顾感染性疾病的中西医调理。采用“西医精准诊疗+中医辨证施治”协同方案，运用扶正解毒、益气活血、疏肝健脾、软坚消积、清肝化痰等中医治法，结合现代医学精准检测、靶向治疗技术，有效改善肝癌患者生活质量、预防术后复发、逆转肝纤维化和肝硬化、减少肝病并发症、改善肝病合并糖脂代谢紊乱。同时针对肝病患者常见的腹胀、食欲减退、代谢异常、胃肠功能紊乱等问题，开展中药内服、中医调理等特色服务，在疑难、危重肝病的中西医协同救治上成效显著。</w:t>
      </w:r>
    </w:p>
    <w:p w14:paraId="637D8970">
      <w:pPr>
        <w:jc w:val="center"/>
        <w:rPr>
          <w:rFonts w:hint="eastAsia" w:ascii="宋体" w:hAnsi="宋体" w:eastAsia="宋体"/>
          <w:b/>
          <w:bCs/>
          <w:sz w:val="24"/>
          <w:szCs w:val="24"/>
        </w:rPr>
      </w:pPr>
    </w:p>
    <w:p w14:paraId="4245348A">
      <w:pPr>
        <w:jc w:val="both"/>
        <w:rPr>
          <w:rFonts w:ascii="宋体" w:hAnsi="宋体" w:eastAsia="宋体"/>
          <w:b/>
          <w:bCs/>
          <w:sz w:val="24"/>
          <w:szCs w:val="24"/>
        </w:rPr>
      </w:pPr>
      <w:r>
        <w:rPr>
          <w:rFonts w:hint="eastAsia" w:ascii="宋体" w:hAnsi="宋体" w:eastAsia="宋体"/>
          <w:b/>
          <w:bCs/>
          <w:sz w:val="24"/>
          <w:szCs w:val="24"/>
          <w:lang w:val="en-US" w:eastAsia="zh-CN"/>
        </w:rPr>
        <w:t>三、</w:t>
      </w:r>
      <w:r>
        <w:rPr>
          <w:rFonts w:hint="eastAsia" w:ascii="宋体" w:hAnsi="宋体" w:eastAsia="宋体"/>
          <w:b/>
          <w:bCs/>
          <w:sz w:val="24"/>
          <w:szCs w:val="24"/>
        </w:rPr>
        <w:t>学科带头人</w:t>
      </w:r>
      <w:r>
        <w:rPr>
          <w:rFonts w:hint="eastAsia" w:ascii="宋体" w:hAnsi="宋体" w:eastAsia="宋体"/>
          <w:b/>
          <w:bCs/>
          <w:sz w:val="24"/>
          <w:szCs w:val="24"/>
          <w:lang w:val="en-US" w:eastAsia="zh-CN"/>
        </w:rPr>
        <w:t>及科室主任</w:t>
      </w:r>
      <w:r>
        <w:rPr>
          <w:rFonts w:hint="eastAsia" w:ascii="宋体" w:hAnsi="宋体" w:eastAsia="宋体"/>
          <w:b/>
          <w:bCs/>
          <w:sz w:val="24"/>
          <w:szCs w:val="24"/>
        </w:rPr>
        <w:t>简介</w:t>
      </w:r>
    </w:p>
    <w:p w14:paraId="2B8A9DB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sz w:val="24"/>
          <w:szCs w:val="24"/>
        </w:rPr>
      </w:pPr>
      <w:r>
        <w:rPr>
          <w:rFonts w:hint="eastAsia" w:ascii="宋体" w:hAnsi="宋体" w:eastAsia="宋体"/>
          <w:b/>
          <w:bCs/>
          <w:sz w:val="24"/>
          <w:szCs w:val="24"/>
        </w:rPr>
        <w:t>学科带头人：杨志云教授</w:t>
      </w:r>
    </w:p>
    <w:p w14:paraId="3DD7C4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rPr>
      </w:pPr>
      <w:r>
        <w:rPr>
          <w:rFonts w:hint="eastAsia" w:ascii="宋体" w:hAnsi="宋体" w:eastAsia="宋体"/>
          <w:sz w:val="24"/>
          <w:szCs w:val="24"/>
        </w:rPr>
        <w:t>杨志云，医学博士，主任医师，教授，博士研究生导师，</w:t>
      </w:r>
      <w:r>
        <w:rPr>
          <w:rFonts w:hint="eastAsia" w:ascii="宋体" w:hAnsi="宋体" w:eastAsia="宋体"/>
          <w:sz w:val="24"/>
          <w:szCs w:val="24"/>
          <w:lang w:val="en-US" w:eastAsia="zh-CN"/>
        </w:rPr>
        <w:t>博士后导师，</w:t>
      </w:r>
      <w:r>
        <w:rPr>
          <w:rFonts w:hint="eastAsia" w:ascii="宋体" w:hAnsi="宋体" w:eastAsia="宋体"/>
          <w:sz w:val="24"/>
          <w:szCs w:val="24"/>
        </w:rPr>
        <w:t>首都医科大学附属北京地坛医院副院长，全国老中医药专家学术经验继承人。为北京市高层次公共卫生技术人才学科带头人、北京市中医药新时代125工程领军人才、北京市医管中心“登峰”人才，兼任首都医科大学-北京地坛医院基础临床联合实验室主任、北京大学医学部传染病学系副主任，北京中西医结合学会肝病专业委员会主任委员等重要学术职务。</w:t>
      </w:r>
    </w:p>
    <w:p w14:paraId="030C99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rPr>
      </w:pPr>
      <w:r>
        <w:rPr>
          <w:rFonts w:hint="eastAsia" w:ascii="宋体" w:hAnsi="宋体" w:eastAsia="宋体"/>
          <w:sz w:val="24"/>
          <w:szCs w:val="24"/>
        </w:rPr>
        <w:t>杨志云教授从事中西医结合肝病临床、科研与教学工作30年，深耕原发性肝癌、</w:t>
      </w:r>
      <w:r>
        <w:rPr>
          <w:rFonts w:hint="eastAsia" w:ascii="宋体" w:hAnsi="宋体" w:eastAsia="宋体"/>
          <w:sz w:val="24"/>
          <w:szCs w:val="24"/>
          <w:lang w:val="en-US" w:eastAsia="zh-CN"/>
        </w:rPr>
        <w:t>肝硬化、病毒性肝炎</w:t>
      </w:r>
      <w:r>
        <w:rPr>
          <w:rFonts w:hint="eastAsia" w:ascii="宋体" w:hAnsi="宋体" w:eastAsia="宋体"/>
          <w:sz w:val="24"/>
          <w:szCs w:val="24"/>
        </w:rPr>
        <w:t>等各类急慢性肝病的中西医协同诊疗，重点开展中医药调控重症肝病免疫微环境的机制研究，牵头构建基于“气阴两虚、瘀毒内蕴”核心病机的重症肝病中西医结合防治体系，显著提升重症肝病与肝癌患者长期预后，相关成果获中国民族医药学会科学技术奖一等奖，主持</w:t>
      </w:r>
      <w:r>
        <w:rPr>
          <w:rFonts w:hint="eastAsia" w:ascii="宋体" w:hAnsi="宋体" w:eastAsia="宋体"/>
          <w:sz w:val="24"/>
          <w:szCs w:val="24"/>
          <w:lang w:val="en-US" w:eastAsia="zh-CN"/>
        </w:rPr>
        <w:t>国家科技重大专项、</w:t>
      </w:r>
      <w:r>
        <w:rPr>
          <w:rFonts w:hint="eastAsia" w:ascii="宋体" w:hAnsi="宋体" w:eastAsia="宋体"/>
          <w:sz w:val="24"/>
          <w:szCs w:val="24"/>
        </w:rPr>
        <w:t>国家自然科学基金、</w:t>
      </w:r>
      <w:r>
        <w:rPr>
          <w:rFonts w:hint="eastAsia" w:ascii="宋体" w:hAnsi="宋体" w:eastAsia="宋体"/>
          <w:sz w:val="24"/>
          <w:szCs w:val="24"/>
          <w:lang w:val="en-US" w:eastAsia="zh-CN"/>
        </w:rPr>
        <w:t>北京研究型病房科研项目</w:t>
      </w:r>
      <w:r>
        <w:rPr>
          <w:rFonts w:hint="eastAsia" w:ascii="宋体" w:hAnsi="宋体" w:eastAsia="宋体"/>
          <w:sz w:val="24"/>
          <w:szCs w:val="24"/>
        </w:rPr>
        <w:t>等省部级以上课题20余项；以第一或通讯作者发表学术论文200余篇，获国家发明专利11项、省部级科技奖励3项。培养博士、硕士研究生三十余名。</w:t>
      </w:r>
    </w:p>
    <w:p w14:paraId="201CF27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科室主任：江宇泳主任</w:t>
      </w:r>
    </w:p>
    <w:p w14:paraId="7528B9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sz w:val="24"/>
          <w:szCs w:val="24"/>
          <w:lang w:val="en-US" w:eastAsia="zh-CN"/>
        </w:rPr>
      </w:pPr>
      <w:r>
        <w:rPr>
          <w:rFonts w:hint="default" w:ascii="宋体" w:hAnsi="宋体" w:eastAsia="宋体"/>
          <w:sz w:val="24"/>
          <w:szCs w:val="24"/>
          <w:lang w:val="en-US" w:eastAsia="zh-CN"/>
        </w:rPr>
        <w:t>江宇泳，医学博士，主任医师，教授，研究生导师，</w:t>
      </w:r>
      <w:r>
        <w:rPr>
          <w:rFonts w:hint="eastAsia" w:ascii="宋体" w:hAnsi="宋体" w:eastAsia="宋体"/>
          <w:sz w:val="24"/>
          <w:szCs w:val="24"/>
          <w:lang w:val="en-US" w:eastAsia="zh-CN"/>
        </w:rPr>
        <w:t>中西医结合中心副主任，</w:t>
      </w:r>
      <w:r>
        <w:rPr>
          <w:rFonts w:hint="default" w:ascii="宋体" w:hAnsi="宋体" w:eastAsia="宋体"/>
          <w:sz w:val="24"/>
          <w:szCs w:val="24"/>
          <w:lang w:val="en-US" w:eastAsia="zh-CN"/>
        </w:rPr>
        <w:t>中西医结合二科主任，首都中青年名中医，首都杏林健康卫士，北京市名中医学术经验传承指导老师，北京市卫健委高层次公共卫生技术人才</w:t>
      </w:r>
      <w:r>
        <w:rPr>
          <w:rFonts w:hint="eastAsia" w:ascii="宋体" w:hAnsi="宋体" w:eastAsia="宋体"/>
          <w:sz w:val="24"/>
          <w:szCs w:val="24"/>
          <w:lang w:val="en-US" w:eastAsia="zh-CN"/>
        </w:rPr>
        <w:t>学科带头人</w:t>
      </w:r>
      <w:r>
        <w:rPr>
          <w:rFonts w:hint="default" w:ascii="宋体" w:hAnsi="宋体" w:eastAsia="宋体"/>
          <w:sz w:val="24"/>
          <w:szCs w:val="24"/>
          <w:lang w:val="en-US" w:eastAsia="zh-CN"/>
        </w:rPr>
        <w:t>，国家名老中医药专家学术经验继承人。兼任北京中西医结合学会传染病专业委员会主任委员、《中西医结合肝病杂志》常务编委等学术职务。</w:t>
      </w:r>
    </w:p>
    <w:p w14:paraId="09BEAD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sz w:val="24"/>
          <w:szCs w:val="24"/>
          <w:lang w:val="en-US" w:eastAsia="zh-CN"/>
        </w:rPr>
      </w:pPr>
      <w:r>
        <w:rPr>
          <w:rFonts w:hint="default" w:ascii="宋体" w:hAnsi="宋体" w:eastAsia="宋体"/>
          <w:sz w:val="24"/>
          <w:szCs w:val="24"/>
          <w:lang w:val="en-US" w:eastAsia="zh-CN"/>
        </w:rPr>
        <w:t>江宇泳教授专注慢性乙型肝炎、肝纤维化、肝硬化及其并发症、肝病合并糖代谢紊乱、酒精性肝病、药物性肝损伤以及肝病合并胃肠功能障碍的中西医协同诊疗。重视辨病与辨证相结合，发挥中医药在改善肝病患者临床症状、阻断肝纤维化进展、调控代谢异常方面的独特优势，在疑难肝病、不明原因黄疸的鉴别诊疗上积累了丰富临床经验。</w:t>
      </w:r>
    </w:p>
    <w:p w14:paraId="537687D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sz w:val="24"/>
          <w:szCs w:val="24"/>
          <w:lang w:val="en-US" w:eastAsia="zh-CN"/>
        </w:rPr>
      </w:pPr>
      <w:r>
        <w:rPr>
          <w:rFonts w:hint="default" w:ascii="宋体" w:hAnsi="宋体" w:eastAsia="宋体"/>
          <w:sz w:val="24"/>
          <w:szCs w:val="24"/>
          <w:lang w:val="en-US" w:eastAsia="zh-CN"/>
        </w:rPr>
        <w:t>主持及参与多项国家级、省部级科研课题，发表 SCI 及核心期刊论文 70 余篇</w:t>
      </w:r>
      <w:r>
        <w:rPr>
          <w:rFonts w:hint="eastAsia" w:ascii="宋体" w:hAnsi="宋体" w:eastAsia="宋体"/>
          <w:sz w:val="24"/>
          <w:szCs w:val="24"/>
          <w:lang w:val="en-US" w:eastAsia="zh-CN"/>
        </w:rPr>
        <w:t>。</w:t>
      </w:r>
      <w:r>
        <w:rPr>
          <w:rFonts w:hint="default" w:ascii="宋体" w:hAnsi="宋体" w:eastAsia="宋体"/>
          <w:sz w:val="24"/>
          <w:szCs w:val="24"/>
          <w:lang w:val="en-US" w:eastAsia="zh-CN"/>
        </w:rPr>
        <w:t>长期承担首都医科大学及北京中医药大学教学任务，重视临床思维培养与中医经典传承。</w:t>
      </w:r>
    </w:p>
    <w:p w14:paraId="53E0961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仿宋"/>
          <w:b/>
          <w:spacing w:val="9"/>
          <w:sz w:val="24"/>
          <w:szCs w:val="24"/>
        </w:rPr>
      </w:pPr>
      <w:r>
        <w:rPr>
          <w:rFonts w:hint="default" w:ascii="宋体" w:hAnsi="宋体" w:eastAsia="宋体"/>
          <w:sz w:val="24"/>
          <w:szCs w:val="24"/>
          <w:lang w:val="en-US" w:eastAsia="zh-CN"/>
        </w:rPr>
        <w:t>作为科室主任，全面负责科室临床管理与进修医师培养工作，坚持理论与临床病例带教并重，注重培养进修医师中西医结合诊疗思维，系统传授肝病规范化诊疗方案与中医特色技术</w:t>
      </w:r>
      <w:r>
        <w:rPr>
          <w:rFonts w:hint="eastAsia" w:ascii="宋体" w:hAnsi="宋体" w:eastAsia="宋体"/>
          <w:sz w:val="24"/>
          <w:szCs w:val="24"/>
          <w:lang w:val="en-US" w:eastAsia="zh-CN"/>
        </w:rPr>
        <w:t>，</w:t>
      </w:r>
      <w:r>
        <w:rPr>
          <w:rFonts w:hint="eastAsia" w:ascii="宋体" w:hAnsi="宋体" w:eastAsia="宋体"/>
          <w:sz w:val="24"/>
          <w:szCs w:val="24"/>
        </w:rPr>
        <w:t>为进修医师提供高水平临床实践、学术研讨与科研转化平台。</w:t>
      </w:r>
    </w:p>
    <w:p w14:paraId="453E00CB">
      <w:pPr>
        <w:spacing w:line="360" w:lineRule="auto"/>
        <w:ind w:firstLine="518" w:firstLineChars="200"/>
        <w:jc w:val="center"/>
        <w:rPr>
          <w:rFonts w:hint="eastAsia" w:ascii="宋体" w:hAnsi="宋体" w:eastAsia="宋体" w:cs="仿宋"/>
          <w:b/>
          <w:spacing w:val="9"/>
          <w:sz w:val="24"/>
          <w:szCs w:val="24"/>
        </w:rPr>
      </w:pPr>
    </w:p>
    <w:p w14:paraId="454C8BD3">
      <w:pPr>
        <w:spacing w:line="360" w:lineRule="auto"/>
        <w:jc w:val="both"/>
        <w:rPr>
          <w:rFonts w:ascii="宋体" w:hAnsi="宋体" w:eastAsia="宋体" w:cs="仿宋"/>
          <w:b/>
          <w:spacing w:val="9"/>
          <w:sz w:val="24"/>
          <w:szCs w:val="24"/>
        </w:rPr>
      </w:pPr>
      <w:r>
        <w:rPr>
          <w:rFonts w:hint="eastAsia" w:ascii="宋体" w:hAnsi="宋体" w:eastAsia="宋体" w:cs="仿宋"/>
          <w:b/>
          <w:spacing w:val="9"/>
          <w:sz w:val="24"/>
          <w:szCs w:val="24"/>
          <w:lang w:val="en-US" w:eastAsia="zh-CN"/>
        </w:rPr>
        <w:t>四、</w:t>
      </w:r>
      <w:r>
        <w:rPr>
          <w:rFonts w:hint="eastAsia" w:ascii="宋体" w:hAnsi="宋体" w:eastAsia="宋体" w:cs="仿宋"/>
          <w:b/>
          <w:spacing w:val="9"/>
          <w:sz w:val="24"/>
          <w:szCs w:val="24"/>
        </w:rPr>
        <w:t>招收对象</w:t>
      </w:r>
      <w:r>
        <w:rPr>
          <w:rFonts w:hint="eastAsia" w:ascii="宋体" w:hAnsi="宋体" w:eastAsia="宋体" w:cs="仿宋"/>
          <w:b/>
          <w:spacing w:val="9"/>
          <w:sz w:val="24"/>
          <w:szCs w:val="24"/>
          <w:lang w:eastAsia="zh-CN"/>
        </w:rPr>
        <w:t>、</w:t>
      </w:r>
      <w:bookmarkStart w:id="1" w:name="_GoBack"/>
      <w:bookmarkEnd w:id="1"/>
      <w:r>
        <w:rPr>
          <w:rFonts w:hint="eastAsia" w:ascii="宋体" w:hAnsi="宋体" w:eastAsia="宋体" w:cs="仿宋"/>
          <w:b/>
          <w:spacing w:val="9"/>
          <w:sz w:val="24"/>
          <w:szCs w:val="24"/>
        </w:rPr>
        <w:t>培训计划及联系方式</w:t>
      </w:r>
    </w:p>
    <w:p w14:paraId="60405793">
      <w:pPr>
        <w:spacing w:line="360" w:lineRule="auto"/>
        <w:ind w:firstLine="518" w:firstLineChars="200"/>
        <w:jc w:val="left"/>
        <w:rPr>
          <w:rFonts w:ascii="宋体" w:hAnsi="宋体" w:eastAsia="宋体" w:cs="仿宋"/>
          <w:spacing w:val="9"/>
          <w:sz w:val="24"/>
          <w:szCs w:val="24"/>
        </w:rPr>
      </w:pPr>
      <w:r>
        <w:rPr>
          <w:rFonts w:hint="eastAsia" w:ascii="宋体" w:hAnsi="宋体" w:eastAsia="宋体" w:cs="仿宋"/>
          <w:b/>
          <w:bCs/>
          <w:spacing w:val="9"/>
          <w:sz w:val="24"/>
          <w:szCs w:val="24"/>
        </w:rPr>
        <w:t>招收对象：</w:t>
      </w:r>
    </w:p>
    <w:p w14:paraId="20E76F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sz w:val="24"/>
          <w:szCs w:val="24"/>
          <w:lang w:val="en-US" w:eastAsia="zh-CN"/>
        </w:rPr>
      </w:pPr>
      <w:r>
        <w:rPr>
          <w:rFonts w:hint="eastAsia" w:ascii="宋体" w:hAnsi="宋体" w:eastAsia="宋体"/>
          <w:sz w:val="24"/>
          <w:szCs w:val="24"/>
          <w:lang w:val="en-US" w:eastAsia="zh-CN"/>
        </w:rPr>
        <w:t>进修医师：持有执业医师资格证、医师执业证，工作年限1年及以上，进修时间3个月至6个月，期满考核合格可发放证书。</w:t>
      </w:r>
    </w:p>
    <w:p w14:paraId="682E22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sz w:val="24"/>
          <w:szCs w:val="24"/>
          <w:lang w:val="en-US" w:eastAsia="zh-CN"/>
        </w:rPr>
      </w:pPr>
      <w:r>
        <w:rPr>
          <w:rFonts w:hint="eastAsia" w:ascii="宋体" w:hAnsi="宋体" w:eastAsia="宋体"/>
          <w:sz w:val="24"/>
          <w:szCs w:val="24"/>
          <w:lang w:val="en-US" w:eastAsia="zh-CN"/>
        </w:rPr>
        <w:t>进修护士：获得执业护师执照，工作时间2年以上，期满合格可发放证书。</w:t>
      </w:r>
    </w:p>
    <w:p w14:paraId="714346E3">
      <w:pPr>
        <w:spacing w:line="360" w:lineRule="auto"/>
        <w:ind w:firstLine="518" w:firstLineChars="200"/>
        <w:jc w:val="left"/>
        <w:rPr>
          <w:rFonts w:ascii="宋体" w:hAnsi="宋体" w:eastAsia="宋体" w:cs="仿宋"/>
          <w:spacing w:val="9"/>
          <w:sz w:val="24"/>
          <w:szCs w:val="24"/>
        </w:rPr>
      </w:pPr>
      <w:r>
        <w:rPr>
          <w:rFonts w:hint="eastAsia" w:ascii="宋体" w:hAnsi="宋体" w:eastAsia="宋体" w:cs="仿宋"/>
          <w:b/>
          <w:bCs/>
          <w:spacing w:val="9"/>
          <w:sz w:val="24"/>
          <w:szCs w:val="24"/>
        </w:rPr>
        <w:t>培训计划：</w:t>
      </w:r>
    </w:p>
    <w:p w14:paraId="2534E96F">
      <w:pPr>
        <w:spacing w:line="360" w:lineRule="auto"/>
        <w:ind w:firstLine="518" w:firstLineChars="200"/>
        <w:jc w:val="left"/>
        <w:rPr>
          <w:rFonts w:ascii="宋体" w:hAnsi="宋体" w:eastAsia="宋体" w:cs="仿宋"/>
          <w:b/>
          <w:bCs/>
          <w:spacing w:val="9"/>
          <w:sz w:val="24"/>
          <w:szCs w:val="24"/>
        </w:rPr>
      </w:pPr>
      <w:r>
        <w:rPr>
          <w:rFonts w:hint="eastAsia" w:ascii="宋体" w:hAnsi="宋体" w:eastAsia="宋体" w:cs="仿宋"/>
          <w:b/>
          <w:bCs/>
          <w:spacing w:val="9"/>
          <w:sz w:val="24"/>
          <w:szCs w:val="24"/>
        </w:rPr>
        <w:t>进修医师培训计划</w:t>
      </w:r>
    </w:p>
    <w:p w14:paraId="565C01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首都医科大学附属北京地坛医院中西医结合二科对前来进修学习的医师均制定完善的工作学习计划，实行一对一带教，以满足不同医师的学习需求。</w:t>
      </w:r>
    </w:p>
    <w:p w14:paraId="1667FAD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1、实施导师制，科主任及核心骨干亲自带教，一起共同学习进步。</w:t>
      </w:r>
    </w:p>
    <w:p w14:paraId="520BEC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2、让每一位高级进修培训人才亲自参与患者管理，拥有更多实操机会，同时可以安排进修医师门诊跟诊。</w:t>
      </w:r>
    </w:p>
    <w:p w14:paraId="753B08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3、在带教及跟诊过程中提升中西医结合诊治疑难、危重肝病能力，对常见肝病中西医结合诊疗提供系列诊疗方并指导应用。</w:t>
      </w:r>
    </w:p>
    <w:p w14:paraId="13F06AE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4、对于希望有提高科研或写作需求的进修培训医师/护师，给予针对性指导。</w:t>
      </w:r>
    </w:p>
    <w:p w14:paraId="53F2331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5、能够相对独立承担临床工作（管理病人及参加值班），科内给予一定的生活补助。</w:t>
      </w:r>
    </w:p>
    <w:p w14:paraId="34714F74">
      <w:pPr>
        <w:spacing w:line="360" w:lineRule="auto"/>
        <w:ind w:firstLine="518" w:firstLineChars="200"/>
        <w:jc w:val="left"/>
        <w:rPr>
          <w:rFonts w:ascii="宋体" w:hAnsi="宋体" w:eastAsia="宋体" w:cs="仿宋"/>
          <w:b/>
          <w:bCs/>
          <w:spacing w:val="9"/>
          <w:sz w:val="24"/>
          <w:szCs w:val="24"/>
        </w:rPr>
      </w:pPr>
      <w:r>
        <w:rPr>
          <w:rFonts w:hint="eastAsia" w:ascii="宋体" w:hAnsi="宋体" w:eastAsia="宋体" w:cs="仿宋"/>
          <w:b/>
          <w:bCs/>
          <w:spacing w:val="9"/>
          <w:sz w:val="24"/>
          <w:szCs w:val="24"/>
        </w:rPr>
        <w:t>进修护士培训计划</w:t>
      </w:r>
    </w:p>
    <w:p w14:paraId="47AB556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我科将依据完善的进修培训计划，安排经验丰富的中西医结合专科护士进行一对一带教，学习内容包括：</w:t>
      </w:r>
    </w:p>
    <w:p w14:paraId="208678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1、重症患者的监测与护理：包括中医外治法、中医饮食调护、中医早期康复、营养支持、皮肤管理、各类管路维护（PICC、引流管等）与院内感染防护等。</w:t>
      </w:r>
    </w:p>
    <w:p w14:paraId="5786E76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2、参与科室每月进行的护理查房及业务学习。</w:t>
      </w:r>
    </w:p>
    <w:p w14:paraId="64E4DF2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val="en-US" w:eastAsia="zh-CN"/>
        </w:rPr>
      </w:pPr>
    </w:p>
    <w:p w14:paraId="530D4B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咨询电话：</w:t>
      </w:r>
    </w:p>
    <w:p w14:paraId="12FE98A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科室：010-84322313</w:t>
      </w:r>
    </w:p>
    <w:p w14:paraId="33F2643B">
      <w:pPr>
        <w:spacing w:line="360" w:lineRule="auto"/>
        <w:jc w:val="left"/>
        <w:rPr>
          <w:rFonts w:ascii="宋体" w:hAnsi="宋体" w:eastAsia="宋体" w:cs="仿宋"/>
          <w:b/>
          <w:bCs/>
          <w:spacing w:val="9"/>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74AE683-2C6F-46A4-B8F7-37B6453DC1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1796FEED-F81F-4319-9468-9C3C9146F83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26C"/>
    <w:rsid w:val="00032C48"/>
    <w:rsid w:val="000411D5"/>
    <w:rsid w:val="000E682A"/>
    <w:rsid w:val="00106B6D"/>
    <w:rsid w:val="00117F76"/>
    <w:rsid w:val="00185219"/>
    <w:rsid w:val="00195A08"/>
    <w:rsid w:val="00203D71"/>
    <w:rsid w:val="002E4423"/>
    <w:rsid w:val="002F4395"/>
    <w:rsid w:val="00383879"/>
    <w:rsid w:val="003A31EA"/>
    <w:rsid w:val="00450F8F"/>
    <w:rsid w:val="00457F75"/>
    <w:rsid w:val="00463707"/>
    <w:rsid w:val="004C3070"/>
    <w:rsid w:val="004C6536"/>
    <w:rsid w:val="00522B4E"/>
    <w:rsid w:val="0053440D"/>
    <w:rsid w:val="00587905"/>
    <w:rsid w:val="005D67BF"/>
    <w:rsid w:val="006A5619"/>
    <w:rsid w:val="007456DF"/>
    <w:rsid w:val="007C3ADB"/>
    <w:rsid w:val="007C4714"/>
    <w:rsid w:val="007E6C87"/>
    <w:rsid w:val="007F7ACF"/>
    <w:rsid w:val="00831AA4"/>
    <w:rsid w:val="00866E60"/>
    <w:rsid w:val="00871279"/>
    <w:rsid w:val="0089626C"/>
    <w:rsid w:val="008B700C"/>
    <w:rsid w:val="008F43B5"/>
    <w:rsid w:val="00954E30"/>
    <w:rsid w:val="00977991"/>
    <w:rsid w:val="009C1B59"/>
    <w:rsid w:val="009D1E74"/>
    <w:rsid w:val="009E18C7"/>
    <w:rsid w:val="009F6F26"/>
    <w:rsid w:val="00A11BD8"/>
    <w:rsid w:val="00A13186"/>
    <w:rsid w:val="00A42799"/>
    <w:rsid w:val="00A44837"/>
    <w:rsid w:val="00B10F1B"/>
    <w:rsid w:val="00B4661F"/>
    <w:rsid w:val="00B967A2"/>
    <w:rsid w:val="00C87F89"/>
    <w:rsid w:val="00C9078B"/>
    <w:rsid w:val="00D31E42"/>
    <w:rsid w:val="00DC2FBD"/>
    <w:rsid w:val="00DF6F28"/>
    <w:rsid w:val="08B87BF2"/>
    <w:rsid w:val="0FA20284"/>
    <w:rsid w:val="1029442C"/>
    <w:rsid w:val="1537146E"/>
    <w:rsid w:val="1D0A0FEB"/>
    <w:rsid w:val="20F74FCB"/>
    <w:rsid w:val="257E0182"/>
    <w:rsid w:val="284D4E05"/>
    <w:rsid w:val="2968050A"/>
    <w:rsid w:val="2C0559CB"/>
    <w:rsid w:val="2FFD30AF"/>
    <w:rsid w:val="306628BF"/>
    <w:rsid w:val="34495916"/>
    <w:rsid w:val="36906FAB"/>
    <w:rsid w:val="384C0889"/>
    <w:rsid w:val="39A36F16"/>
    <w:rsid w:val="39F86EE1"/>
    <w:rsid w:val="3E962118"/>
    <w:rsid w:val="403D57D3"/>
    <w:rsid w:val="40AB66E9"/>
    <w:rsid w:val="4315434D"/>
    <w:rsid w:val="462E14CC"/>
    <w:rsid w:val="4A940587"/>
    <w:rsid w:val="4BC5730D"/>
    <w:rsid w:val="4DE65204"/>
    <w:rsid w:val="4E053A08"/>
    <w:rsid w:val="50795EBC"/>
    <w:rsid w:val="53D1600F"/>
    <w:rsid w:val="548C70E0"/>
    <w:rsid w:val="56004989"/>
    <w:rsid w:val="5BE663CF"/>
    <w:rsid w:val="5BF73973"/>
    <w:rsid w:val="5CBC4A90"/>
    <w:rsid w:val="5E0C01D0"/>
    <w:rsid w:val="642530D2"/>
    <w:rsid w:val="67AF26F7"/>
    <w:rsid w:val="757871D5"/>
    <w:rsid w:val="7A020420"/>
    <w:rsid w:val="7BC524DD"/>
    <w:rsid w:val="7DB90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9"/>
    <w:unhideWhenUsed/>
    <w:qFormat/>
    <w:uiPriority w:val="0"/>
    <w:pPr>
      <w:keepNext/>
      <w:keepLines/>
      <w:spacing w:line="413" w:lineRule="auto"/>
      <w:outlineLvl w:val="1"/>
    </w:pPr>
    <w:rPr>
      <w:rFonts w:ascii="Arial" w:hAnsi="Arial" w:eastAsia="黑体"/>
      <w:b/>
      <w:sz w:val="32"/>
      <w:szCs w:val="24"/>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qFormat/>
    <w:uiPriority w:val="99"/>
    <w:rPr>
      <w:sz w:val="18"/>
      <w:szCs w:val="18"/>
    </w:r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List Paragraph"/>
    <w:basedOn w:val="1"/>
    <w:qFormat/>
    <w:uiPriority w:val="34"/>
    <w:pPr>
      <w:widowControl/>
      <w:ind w:firstLine="420" w:firstLineChars="200"/>
      <w:jc w:val="left"/>
    </w:pPr>
    <w:rPr>
      <w:rFonts w:ascii="宋体" w:hAnsi="宋体" w:eastAsia="宋体" w:cs="宋体"/>
      <w:kern w:val="0"/>
      <w:sz w:val="24"/>
      <w:szCs w:val="24"/>
    </w:rPr>
  </w:style>
  <w:style w:type="character" w:customStyle="1" w:styleId="9">
    <w:name w:val="标题 2 Char"/>
    <w:basedOn w:val="7"/>
    <w:link w:val="2"/>
    <w:qFormat/>
    <w:uiPriority w:val="0"/>
    <w:rPr>
      <w:rFonts w:ascii="Arial" w:hAnsi="Arial" w:eastAsia="黑体"/>
      <w:b/>
      <w:sz w:val="32"/>
      <w:szCs w:val="24"/>
    </w:rPr>
  </w:style>
  <w:style w:type="character" w:customStyle="1" w:styleId="10">
    <w:name w:val="页眉 Char"/>
    <w:basedOn w:val="7"/>
    <w:link w:val="5"/>
    <w:qFormat/>
    <w:uiPriority w:val="99"/>
    <w:rPr>
      <w:sz w:val="18"/>
      <w:szCs w:val="18"/>
    </w:rPr>
  </w:style>
  <w:style w:type="character" w:customStyle="1" w:styleId="11">
    <w:name w:val="页脚 Char"/>
    <w:basedOn w:val="7"/>
    <w:link w:val="4"/>
    <w:qFormat/>
    <w:uiPriority w:val="99"/>
    <w:rPr>
      <w:sz w:val="18"/>
      <w:szCs w:val="18"/>
    </w:rPr>
  </w:style>
  <w:style w:type="character" w:customStyle="1" w:styleId="12">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2317</Words>
  <Characters>2357</Characters>
  <Lines>15</Lines>
  <Paragraphs>4</Paragraphs>
  <TotalTime>20</TotalTime>
  <ScaleCrop>false</ScaleCrop>
  <LinksUpToDate>false</LinksUpToDate>
  <CharactersWithSpaces>2408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2023-02-07T05:19:00Z</dcterms:created>
  <dc:creator>ZHOU GUIQIN</dc:creator>
  <cp:lastModifiedBy>秋天的银杏树</cp:lastModifiedBy>
  <dcterms:modified xsi:type="dcterms:W3CDTF">2026-09-22T16:20:46Z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376A505329734E07912A22910BB5812E_13</vt:lpwstr>
  </property>
  <property fmtid="{D5CDD505-2E9C-101B-9397-08002B2CF9AE}" pid="4" name="KSOTemplateDocerSaveRecord">
    <vt:lpwstr>eyJoZGlkIjoiODQ2OGIwNTg3Nzk4MjU3YzEwYjE0OTRlNmUwNDQ3ZmIiLCJ1c2VySWQiOiIzMjA3NzYyMTcifQ==</vt:lpwstr>
  </property>
</Properties>
</file>